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09224">
      <w:pPr>
        <w:adjustRightInd w:val="0"/>
        <w:snapToGrid w:val="0"/>
        <w:spacing w:line="240" w:lineRule="auto"/>
        <w:jc w:val="left"/>
        <w:rPr>
          <w:rFonts w:hint="eastAsia" w:ascii="黑体" w:hAnsi="黑体" w:eastAsia="黑体" w:cs="黑体"/>
          <w:bCs w:val="0"/>
          <w:sz w:val="32"/>
          <w:szCs w:val="32"/>
        </w:rPr>
      </w:pPr>
      <w:r>
        <w:rPr>
          <w:rFonts w:hint="eastAsia" w:ascii="黑体" w:hAnsi="黑体" w:eastAsia="黑体" w:cs="黑体"/>
          <w:bCs w:val="0"/>
          <w:sz w:val="32"/>
          <w:szCs w:val="32"/>
        </w:rPr>
        <w:t>附</w:t>
      </w:r>
      <w:r>
        <w:rPr>
          <w:rFonts w:hint="eastAsia" w:ascii="黑体" w:hAnsi="黑体" w:eastAsia="黑体" w:cs="黑体"/>
          <w:bCs w:val="0"/>
          <w:sz w:val="32"/>
          <w:szCs w:val="32"/>
          <w:lang w:val="en-US" w:eastAsia="zh-CN"/>
        </w:rPr>
        <w:t>件</w:t>
      </w:r>
      <w:r>
        <w:rPr>
          <w:rFonts w:hint="eastAsia" w:ascii="黑体" w:hAnsi="黑体" w:eastAsia="黑体" w:cs="黑体"/>
          <w:bCs w:val="0"/>
          <w:sz w:val="32"/>
          <w:szCs w:val="32"/>
        </w:rPr>
        <w:t>2</w:t>
      </w:r>
    </w:p>
    <w:p w14:paraId="18F56C46">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ascii="方正小标宋简体" w:hAnsi="黑体" w:eastAsia="方正小标宋简体" w:cs="Times New Roman"/>
          <w:bCs/>
          <w:sz w:val="28"/>
          <w:szCs w:val="28"/>
        </w:rPr>
      </w:pPr>
      <w:r>
        <w:rPr>
          <w:rFonts w:hint="eastAsia" w:ascii="方正小标宋简体" w:hAnsi="黑体" w:eastAsia="方正小标宋简体" w:cs="方正小标宋简体"/>
          <w:bCs/>
          <w:sz w:val="44"/>
          <w:szCs w:val="44"/>
        </w:rPr>
        <w:t>江西师范大学校内分散采购项目公告表</w:t>
      </w:r>
    </w:p>
    <w:tbl>
      <w:tblPr>
        <w:tblStyle w:val="5"/>
        <w:tblpPr w:leftFromText="180" w:rightFromText="180" w:vertAnchor="text" w:horzAnchor="page" w:tblpX="1563" w:tblpY="229"/>
        <w:tblOverlap w:val="never"/>
        <w:tblW w:w="13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3272"/>
        <w:gridCol w:w="1845"/>
        <w:gridCol w:w="1698"/>
        <w:gridCol w:w="993"/>
        <w:gridCol w:w="1275"/>
        <w:gridCol w:w="3261"/>
      </w:tblGrid>
      <w:tr w14:paraId="74A9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noWrap w:val="0"/>
            <w:vAlign w:val="center"/>
          </w:tcPr>
          <w:p w14:paraId="3F3DC9CE">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项目名称</w:t>
            </w:r>
          </w:p>
        </w:tc>
        <w:tc>
          <w:tcPr>
            <w:tcW w:w="5117" w:type="dxa"/>
            <w:gridSpan w:val="2"/>
            <w:noWrap w:val="0"/>
            <w:vAlign w:val="center"/>
          </w:tcPr>
          <w:p w14:paraId="21278A65">
            <w:pPr>
              <w:adjustRightInd w:val="0"/>
              <w:snapToGrid w:val="0"/>
              <w:spacing w:line="240" w:lineRule="auto"/>
              <w:jc w:val="center"/>
              <w:rPr>
                <w:rFonts w:hint="eastAsia" w:ascii="仿宋_GB2312" w:hAnsi="仿宋_GB2312" w:eastAsia="仿宋_GB2312" w:cs="仿宋_GB2312"/>
                <w:bCs/>
                <w:sz w:val="28"/>
                <w:szCs w:val="28"/>
              </w:rPr>
            </w:pPr>
            <w:r>
              <w:rPr>
                <w:rFonts w:ascii="Helvetica" w:hAnsi="Helvetica" w:eastAsia="Helvetica" w:cs="Helvetica"/>
                <w:i w:val="0"/>
                <w:iCs w:val="0"/>
                <w:caps w:val="0"/>
                <w:color w:val="000000"/>
                <w:spacing w:val="0"/>
                <w:sz w:val="24"/>
                <w:szCs w:val="24"/>
                <w:shd w:val="clear" w:fill="FFFFFF"/>
              </w:rPr>
              <w:t>剧毒品仓库第一期升级补充改造</w:t>
            </w:r>
          </w:p>
        </w:tc>
        <w:tc>
          <w:tcPr>
            <w:tcW w:w="2691" w:type="dxa"/>
            <w:gridSpan w:val="2"/>
            <w:noWrap w:val="0"/>
            <w:vAlign w:val="center"/>
          </w:tcPr>
          <w:p w14:paraId="1FC34F95">
            <w:pPr>
              <w:adjustRightInd w:val="0"/>
              <w:snapToGrid w:val="0"/>
              <w:spacing w:line="240" w:lineRule="auto"/>
              <w:jc w:val="center"/>
              <w:rPr>
                <w:rFonts w:hint="eastAsia" w:ascii="仿宋_GB2312" w:hAnsi="仿宋_GB2312" w:eastAsia="仿宋_GB2312" w:cs="仿宋_GB2312"/>
                <w:bCs/>
                <w:sz w:val="28"/>
                <w:szCs w:val="28"/>
              </w:rPr>
            </w:pPr>
            <w:r>
              <w:rPr>
                <w:rFonts w:hint="eastAsia" w:ascii="仿宋_GB2312" w:hAnsi="仿宋_GB2312" w:eastAsia="仿宋_GB2312" w:cs="仿宋_GB2312"/>
                <w:b w:val="0"/>
                <w:bCs/>
                <w:sz w:val="28"/>
                <w:szCs w:val="28"/>
              </w:rPr>
              <w:t>项目预算金额</w:t>
            </w:r>
          </w:p>
        </w:tc>
        <w:tc>
          <w:tcPr>
            <w:tcW w:w="4536" w:type="dxa"/>
            <w:gridSpan w:val="2"/>
            <w:noWrap w:val="0"/>
            <w:vAlign w:val="center"/>
          </w:tcPr>
          <w:p w14:paraId="0479BEEB">
            <w:pPr>
              <w:adjustRightInd w:val="0"/>
              <w:snapToGrid w:val="0"/>
              <w:spacing w:line="240" w:lineRule="auto"/>
              <w:jc w:val="center"/>
              <w:rPr>
                <w:rFonts w:hint="eastAsia" w:ascii="仿宋_GB2312" w:hAnsi="仿宋_GB2312" w:eastAsia="仿宋_GB2312" w:cs="仿宋_GB2312"/>
                <w:bCs/>
                <w:sz w:val="28"/>
                <w:szCs w:val="28"/>
              </w:rPr>
            </w:pPr>
            <w:r>
              <w:rPr>
                <w:rFonts w:ascii="Helvetica" w:hAnsi="Helvetica" w:eastAsia="Helvetica" w:cs="Helvetica"/>
                <w:i w:val="0"/>
                <w:iCs w:val="0"/>
                <w:caps w:val="0"/>
                <w:color w:val="000000"/>
                <w:spacing w:val="0"/>
                <w:sz w:val="28"/>
                <w:szCs w:val="28"/>
                <w:shd w:val="clear" w:fill="FFFFFF"/>
              </w:rPr>
              <w:t>四万零四百六十元</w:t>
            </w:r>
          </w:p>
        </w:tc>
      </w:tr>
      <w:tr w14:paraId="551D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noWrap w:val="0"/>
            <w:vAlign w:val="center"/>
          </w:tcPr>
          <w:p w14:paraId="7CAF64B7">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申购单位</w:t>
            </w:r>
          </w:p>
        </w:tc>
        <w:tc>
          <w:tcPr>
            <w:tcW w:w="3272" w:type="dxa"/>
            <w:noWrap w:val="0"/>
            <w:vAlign w:val="center"/>
          </w:tcPr>
          <w:p w14:paraId="227DE92D">
            <w:pPr>
              <w:adjustRightInd w:val="0"/>
              <w:snapToGrid w:val="0"/>
              <w:spacing w:line="240" w:lineRule="auto"/>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资产与实验室管理处</w:t>
            </w:r>
            <w:r>
              <w:rPr>
                <w:rFonts w:hint="eastAsia" w:ascii="仿宋_GB2312" w:hAnsi="仿宋_GB2312" w:eastAsia="仿宋_GB2312" w:cs="仿宋_GB2312"/>
                <w:bCs/>
                <w:sz w:val="28"/>
                <w:szCs w:val="28"/>
              </w:rPr>
              <w:t>（盖章）</w:t>
            </w:r>
          </w:p>
        </w:tc>
        <w:tc>
          <w:tcPr>
            <w:tcW w:w="1845" w:type="dxa"/>
            <w:noWrap w:val="0"/>
            <w:vAlign w:val="center"/>
          </w:tcPr>
          <w:p w14:paraId="36377561">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经办人</w:t>
            </w:r>
          </w:p>
        </w:tc>
        <w:tc>
          <w:tcPr>
            <w:tcW w:w="1698" w:type="dxa"/>
            <w:noWrap w:val="0"/>
            <w:vAlign w:val="center"/>
          </w:tcPr>
          <w:p w14:paraId="13AF1649">
            <w:pPr>
              <w:adjustRightInd w:val="0"/>
              <w:snapToGrid w:val="0"/>
              <w:spacing w:line="240" w:lineRule="auto"/>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余杰皓</w:t>
            </w:r>
          </w:p>
        </w:tc>
        <w:tc>
          <w:tcPr>
            <w:tcW w:w="2268" w:type="dxa"/>
            <w:gridSpan w:val="2"/>
            <w:noWrap w:val="0"/>
            <w:vAlign w:val="center"/>
          </w:tcPr>
          <w:p w14:paraId="4C12F036">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联系方式</w:t>
            </w:r>
          </w:p>
        </w:tc>
        <w:tc>
          <w:tcPr>
            <w:tcW w:w="3261" w:type="dxa"/>
            <w:noWrap w:val="0"/>
            <w:vAlign w:val="center"/>
          </w:tcPr>
          <w:p w14:paraId="1EF3DF26">
            <w:pPr>
              <w:adjustRightInd w:val="0"/>
              <w:snapToGrid w:val="0"/>
              <w:spacing w:line="240" w:lineRule="auto"/>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15600565682</w:t>
            </w:r>
          </w:p>
        </w:tc>
      </w:tr>
      <w:tr w14:paraId="4DCA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noWrap w:val="0"/>
            <w:vAlign w:val="center"/>
          </w:tcPr>
          <w:p w14:paraId="6DDC1123">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开标时间</w:t>
            </w:r>
          </w:p>
        </w:tc>
        <w:tc>
          <w:tcPr>
            <w:tcW w:w="3272" w:type="dxa"/>
            <w:noWrap w:val="0"/>
            <w:vAlign w:val="center"/>
          </w:tcPr>
          <w:p w14:paraId="0BB0B3D8">
            <w:pPr>
              <w:adjustRightInd w:val="0"/>
              <w:snapToGrid w:val="0"/>
              <w:spacing w:line="240" w:lineRule="auto"/>
              <w:jc w:val="both"/>
              <w:rPr>
                <w:rFonts w:hint="eastAsia" w:ascii="仿宋_GB2312" w:hAnsi="仿宋_GB2312" w:eastAsia="仿宋_GB2312" w:cs="仿宋_GB2312"/>
                <w:bCs/>
                <w:sz w:val="28"/>
                <w:szCs w:val="28"/>
              </w:rPr>
            </w:pPr>
            <w:r>
              <w:rPr>
                <w:rFonts w:hint="eastAsia" w:ascii="仿宋_GB2312" w:hAnsi="仿宋_GB2312" w:eastAsia="仿宋_GB2312" w:cs="仿宋_GB2312"/>
                <w:b w:val="0"/>
                <w:bCs/>
                <w:sz w:val="28"/>
                <w:szCs w:val="28"/>
                <w:lang w:val="en-US" w:eastAsia="zh-CN"/>
              </w:rPr>
              <w:t>2026</w:t>
            </w:r>
            <w:r>
              <w:rPr>
                <w:rFonts w:hint="eastAsia" w:ascii="仿宋_GB2312" w:hAnsi="仿宋_GB2312" w:eastAsia="仿宋_GB2312" w:cs="仿宋_GB2312"/>
                <w:b w:val="0"/>
                <w:bCs/>
                <w:sz w:val="28"/>
                <w:szCs w:val="28"/>
              </w:rPr>
              <w:t>年</w:t>
            </w:r>
            <w:r>
              <w:rPr>
                <w:rFonts w:hint="eastAsia" w:ascii="仿宋_GB2312" w:hAnsi="仿宋_GB2312" w:eastAsia="仿宋_GB2312" w:cs="仿宋_GB2312"/>
                <w:b w:val="0"/>
                <w:bCs/>
                <w:sz w:val="28"/>
                <w:szCs w:val="28"/>
                <w:lang w:val="en-US" w:eastAsia="zh-CN"/>
              </w:rPr>
              <w:t>7</w:t>
            </w:r>
            <w:r>
              <w:rPr>
                <w:rFonts w:hint="eastAsia" w:ascii="仿宋_GB2312" w:hAnsi="仿宋_GB2312" w:eastAsia="仿宋_GB2312" w:cs="仿宋_GB2312"/>
                <w:b w:val="0"/>
                <w:bCs/>
                <w:sz w:val="28"/>
                <w:szCs w:val="28"/>
              </w:rPr>
              <w:t>月</w:t>
            </w:r>
            <w:r>
              <w:rPr>
                <w:rFonts w:hint="eastAsia" w:ascii="仿宋_GB2312" w:hAnsi="仿宋_GB2312" w:eastAsia="仿宋_GB2312" w:cs="仿宋_GB2312"/>
                <w:b w:val="0"/>
                <w:bCs/>
                <w:sz w:val="28"/>
                <w:szCs w:val="28"/>
                <w:lang w:val="en-US" w:eastAsia="zh-CN"/>
              </w:rPr>
              <w:t>31</w:t>
            </w:r>
            <w:r>
              <w:rPr>
                <w:rFonts w:hint="eastAsia" w:ascii="仿宋_GB2312" w:hAnsi="仿宋_GB2312" w:eastAsia="仿宋_GB2312" w:cs="仿宋_GB2312"/>
                <w:b w:val="0"/>
                <w:bCs/>
                <w:sz w:val="28"/>
                <w:szCs w:val="28"/>
              </w:rPr>
              <w:t>日</w:t>
            </w:r>
            <w:r>
              <w:rPr>
                <w:rFonts w:hint="eastAsia" w:ascii="仿宋_GB2312" w:hAnsi="仿宋_GB2312" w:eastAsia="仿宋_GB2312" w:cs="仿宋_GB2312"/>
                <w:b w:val="0"/>
                <w:bCs/>
                <w:sz w:val="28"/>
                <w:szCs w:val="28"/>
                <w:lang w:val="en-US" w:eastAsia="zh-CN"/>
              </w:rPr>
              <w:t>14</w:t>
            </w:r>
            <w:r>
              <w:rPr>
                <w:rFonts w:hint="eastAsia" w:ascii="仿宋_GB2312" w:hAnsi="仿宋_GB2312" w:eastAsia="仿宋_GB2312" w:cs="仿宋_GB2312"/>
                <w:b w:val="0"/>
                <w:bCs/>
                <w:sz w:val="28"/>
                <w:szCs w:val="28"/>
              </w:rPr>
              <w:t>点</w:t>
            </w:r>
            <w:r>
              <w:rPr>
                <w:rFonts w:hint="eastAsia" w:ascii="仿宋_GB2312" w:hAnsi="仿宋_GB2312" w:eastAsia="仿宋_GB2312" w:cs="仿宋_GB2312"/>
                <w:b w:val="0"/>
                <w:bCs/>
                <w:sz w:val="28"/>
                <w:szCs w:val="28"/>
                <w:lang w:val="en-US" w:eastAsia="zh-CN"/>
              </w:rPr>
              <w:t>30</w:t>
            </w:r>
            <w:r>
              <w:rPr>
                <w:rFonts w:hint="eastAsia" w:ascii="仿宋_GB2312" w:hAnsi="仿宋_GB2312" w:eastAsia="仿宋_GB2312" w:cs="仿宋_GB2312"/>
                <w:b w:val="0"/>
                <w:bCs/>
                <w:sz w:val="28"/>
                <w:szCs w:val="28"/>
              </w:rPr>
              <w:t>分</w:t>
            </w:r>
          </w:p>
        </w:tc>
        <w:tc>
          <w:tcPr>
            <w:tcW w:w="1845" w:type="dxa"/>
            <w:noWrap w:val="0"/>
            <w:vAlign w:val="center"/>
          </w:tcPr>
          <w:p w14:paraId="0D39FBCA">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开标地点</w:t>
            </w:r>
          </w:p>
        </w:tc>
        <w:tc>
          <w:tcPr>
            <w:tcW w:w="1698" w:type="dxa"/>
            <w:noWrap w:val="0"/>
            <w:vAlign w:val="center"/>
          </w:tcPr>
          <w:p w14:paraId="63E873AD">
            <w:pPr>
              <w:adjustRightInd w:val="0"/>
              <w:snapToGrid w:val="0"/>
              <w:spacing w:line="240" w:lineRule="auto"/>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先骕楼5511</w:t>
            </w:r>
          </w:p>
        </w:tc>
        <w:tc>
          <w:tcPr>
            <w:tcW w:w="2268" w:type="dxa"/>
            <w:gridSpan w:val="2"/>
            <w:noWrap w:val="0"/>
            <w:vAlign w:val="center"/>
          </w:tcPr>
          <w:p w14:paraId="666A136B">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评标方法</w:t>
            </w:r>
          </w:p>
        </w:tc>
        <w:tc>
          <w:tcPr>
            <w:tcW w:w="3261" w:type="dxa"/>
            <w:noWrap w:val="0"/>
            <w:vAlign w:val="center"/>
          </w:tcPr>
          <w:p w14:paraId="560489E0">
            <w:pPr>
              <w:adjustRightInd w:val="0"/>
              <w:snapToGrid w:val="0"/>
              <w:spacing w:line="240" w:lineRule="auto"/>
              <w:ind w:firstLine="560" w:firstLineChars="200"/>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最低价评标法</w:t>
            </w:r>
            <w:r>
              <w:rPr>
                <w:rFonts w:hint="eastAsia" w:ascii="仿宋_GB2312" w:hAnsi="仿宋_GB2312" w:eastAsia="仿宋_GB2312" w:cs="仿宋_GB2312"/>
                <w:b w:val="0"/>
                <w:bCs/>
                <w:sz w:val="28"/>
                <w:szCs w:val="28"/>
                <w:lang w:eastAsia="zh-CN"/>
              </w:rPr>
              <w:t>☑</w:t>
            </w:r>
          </w:p>
        </w:tc>
      </w:tr>
      <w:tr w14:paraId="3481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noWrap w:val="0"/>
            <w:vAlign w:val="center"/>
          </w:tcPr>
          <w:p w14:paraId="278478FF">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采购明细</w:t>
            </w:r>
          </w:p>
        </w:tc>
        <w:tc>
          <w:tcPr>
            <w:tcW w:w="3272" w:type="dxa"/>
            <w:noWrap w:val="0"/>
            <w:vAlign w:val="center"/>
          </w:tcPr>
          <w:p w14:paraId="3446918B">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采购需求</w:t>
            </w:r>
          </w:p>
          <w:p w14:paraId="308F792D">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（产品参数、交货期、</w:t>
            </w:r>
          </w:p>
          <w:p w14:paraId="78406A21">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质保期、服务期等）</w:t>
            </w:r>
          </w:p>
        </w:tc>
        <w:tc>
          <w:tcPr>
            <w:tcW w:w="1845" w:type="dxa"/>
            <w:noWrap w:val="0"/>
            <w:vAlign w:val="center"/>
          </w:tcPr>
          <w:p w14:paraId="4F2F8410">
            <w:pPr>
              <w:adjustRightInd w:val="0"/>
              <w:snapToGrid w:val="0"/>
              <w:spacing w:line="240" w:lineRule="auto"/>
              <w:jc w:val="center"/>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预算单价</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lang w:val="en-US" w:eastAsia="zh-CN"/>
              </w:rPr>
              <w:t>元</w:t>
            </w:r>
            <w:r>
              <w:rPr>
                <w:rFonts w:hint="eastAsia" w:ascii="仿宋_GB2312" w:hAnsi="仿宋_GB2312" w:eastAsia="仿宋_GB2312" w:cs="仿宋_GB2312"/>
                <w:b w:val="0"/>
                <w:bCs/>
                <w:sz w:val="28"/>
                <w:szCs w:val="28"/>
                <w:lang w:eastAsia="zh-CN"/>
              </w:rPr>
              <w:t>）</w:t>
            </w:r>
          </w:p>
        </w:tc>
        <w:tc>
          <w:tcPr>
            <w:tcW w:w="1698" w:type="dxa"/>
            <w:noWrap w:val="0"/>
            <w:vAlign w:val="center"/>
          </w:tcPr>
          <w:p w14:paraId="597D3CC8">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数量</w:t>
            </w:r>
          </w:p>
        </w:tc>
        <w:tc>
          <w:tcPr>
            <w:tcW w:w="2268" w:type="dxa"/>
            <w:gridSpan w:val="2"/>
            <w:noWrap w:val="0"/>
            <w:vAlign w:val="center"/>
          </w:tcPr>
          <w:p w14:paraId="00372A05">
            <w:pPr>
              <w:adjustRightInd w:val="0"/>
              <w:snapToGrid w:val="0"/>
              <w:spacing w:line="240" w:lineRule="auto"/>
              <w:jc w:val="center"/>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预算总价</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lang w:val="en-US" w:eastAsia="zh-CN"/>
              </w:rPr>
              <w:t>元</w:t>
            </w:r>
            <w:r>
              <w:rPr>
                <w:rFonts w:hint="eastAsia" w:ascii="仿宋_GB2312" w:hAnsi="仿宋_GB2312" w:eastAsia="仿宋_GB2312" w:cs="仿宋_GB2312"/>
                <w:b w:val="0"/>
                <w:bCs/>
                <w:sz w:val="28"/>
                <w:szCs w:val="28"/>
                <w:lang w:eastAsia="zh-CN"/>
              </w:rPr>
              <w:t>）</w:t>
            </w:r>
          </w:p>
        </w:tc>
        <w:tc>
          <w:tcPr>
            <w:tcW w:w="3261" w:type="dxa"/>
            <w:noWrap w:val="0"/>
            <w:vAlign w:val="center"/>
          </w:tcPr>
          <w:p w14:paraId="4A0C48CB">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供应商资格条件</w:t>
            </w:r>
          </w:p>
        </w:tc>
      </w:tr>
      <w:tr w14:paraId="36EE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70" w:type="dxa"/>
            <w:shd w:val="clear" w:color="auto" w:fill="auto"/>
            <w:noWrap w:val="0"/>
            <w:vAlign w:val="center"/>
          </w:tcPr>
          <w:p w14:paraId="53B8B47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防爆半球摄像机</w:t>
            </w:r>
          </w:p>
        </w:tc>
        <w:tc>
          <w:tcPr>
            <w:tcW w:w="3272" w:type="dxa"/>
            <w:shd w:val="clear" w:color="auto" w:fill="auto"/>
            <w:noWrap w:val="0"/>
            <w:vAlign w:val="center"/>
          </w:tcPr>
          <w:p w14:paraId="0E3477A8">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1星光级低照度，有效像素不低于400万，靶面尺寸不小于1/2.7"。</w:t>
            </w:r>
          </w:p>
          <w:p w14:paraId="4E693A0C">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2宽电压设计支持用户定制交直流 POE供电方式。</w:t>
            </w:r>
          </w:p>
          <w:p w14:paraId="4558FB95">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3整体304不锈钢材质，视窗玻璃精密处理，具备自洁功能，具备在氢氟酸环境使用。</w:t>
            </w:r>
          </w:p>
          <w:p w14:paraId="0ACF1BD6">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4防护等级：IP68。</w:t>
            </w:r>
          </w:p>
          <w:p w14:paraId="3DEAB22A">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5防爆认证: ExdIICT6Gb /ExtDA21IP68T80℃。</w:t>
            </w:r>
          </w:p>
          <w:p w14:paraId="2D322B74">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5.6含设备安装及实现其功能所必须的辅材。</w:t>
            </w:r>
          </w:p>
        </w:tc>
        <w:tc>
          <w:tcPr>
            <w:tcW w:w="1845" w:type="dxa"/>
            <w:shd w:val="clear" w:color="auto" w:fill="auto"/>
            <w:noWrap w:val="0"/>
            <w:vAlign w:val="center"/>
          </w:tcPr>
          <w:p w14:paraId="0958686E">
            <w:pPr>
              <w:keepNext w:val="0"/>
              <w:keepLines w:val="0"/>
              <w:widowControl/>
              <w:suppressLineNumbers w:val="0"/>
              <w:spacing w:line="360" w:lineRule="auto"/>
              <w:jc w:val="center"/>
              <w:textAlignment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4500</w:t>
            </w:r>
          </w:p>
        </w:tc>
        <w:tc>
          <w:tcPr>
            <w:tcW w:w="1698" w:type="dxa"/>
            <w:shd w:val="clear" w:color="auto" w:fill="auto"/>
            <w:noWrap w:val="0"/>
            <w:vAlign w:val="center"/>
          </w:tcPr>
          <w:p w14:paraId="3ED69E3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1台</w:t>
            </w:r>
          </w:p>
        </w:tc>
        <w:tc>
          <w:tcPr>
            <w:tcW w:w="2268" w:type="dxa"/>
            <w:gridSpan w:val="2"/>
            <w:shd w:val="clear" w:color="auto" w:fill="auto"/>
            <w:noWrap w:val="0"/>
            <w:vAlign w:val="center"/>
          </w:tcPr>
          <w:p w14:paraId="6186238E">
            <w:pPr>
              <w:keepNext w:val="0"/>
              <w:keepLines w:val="0"/>
              <w:widowControl/>
              <w:suppressLineNumbers w:val="0"/>
              <w:spacing w:line="360" w:lineRule="auto"/>
              <w:jc w:val="center"/>
              <w:textAlignment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4500</w:t>
            </w:r>
          </w:p>
        </w:tc>
        <w:tc>
          <w:tcPr>
            <w:tcW w:w="3261" w:type="dxa"/>
            <w:vMerge w:val="restart"/>
            <w:noWrap w:val="0"/>
            <w:vAlign w:val="center"/>
          </w:tcPr>
          <w:p w14:paraId="2E4C3116">
            <w:pPr>
              <w:adjustRightInd w:val="0"/>
              <w:snapToGrid w:val="0"/>
              <w:spacing w:line="240" w:lineRule="auto"/>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无</w:t>
            </w:r>
          </w:p>
        </w:tc>
      </w:tr>
      <w:tr w14:paraId="7834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7CF4D4B7">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防爆入群双鉴探测器</w:t>
            </w:r>
          </w:p>
        </w:tc>
        <w:tc>
          <w:tcPr>
            <w:tcW w:w="3272" w:type="dxa"/>
            <w:shd w:val="clear" w:color="auto" w:fill="auto"/>
            <w:noWrap w:val="0"/>
            <w:vAlign w:val="center"/>
          </w:tcPr>
          <w:p w14:paraId="019462BA">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1外壳釆用碳钢无缝焊接成型，表面高速抛光后粉末静电喷塑。</w:t>
            </w:r>
          </w:p>
          <w:p w14:paraId="31C2643F">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2所有紧固件均采用抗强腐蚀的304不锈钢材质。</w:t>
            </w:r>
          </w:p>
          <w:p w14:paraId="358D74A4">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3内置红外对射，配置专用强透性防爆玻璃。</w:t>
            </w:r>
          </w:p>
          <w:p w14:paraId="3AEB2190">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4传感元件：双元热释电红外传感器。</w:t>
            </w:r>
          </w:p>
          <w:p w14:paraId="32CFED1F">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5探测能力：12m(25℃)/角度110°。</w:t>
            </w:r>
          </w:p>
          <w:p w14:paraId="673BC779">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6含设备安装及实现其功能所必须的辅材。</w:t>
            </w:r>
          </w:p>
        </w:tc>
        <w:tc>
          <w:tcPr>
            <w:tcW w:w="1845" w:type="dxa"/>
            <w:shd w:val="clear" w:color="auto" w:fill="auto"/>
            <w:noWrap w:val="0"/>
            <w:vAlign w:val="center"/>
          </w:tcPr>
          <w:p w14:paraId="4CFB1755">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3900</w:t>
            </w:r>
          </w:p>
        </w:tc>
        <w:tc>
          <w:tcPr>
            <w:tcW w:w="1698" w:type="dxa"/>
            <w:shd w:val="clear" w:color="auto" w:fill="auto"/>
            <w:noWrap w:val="0"/>
            <w:vAlign w:val="center"/>
          </w:tcPr>
          <w:p w14:paraId="270EDFD4">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1台</w:t>
            </w:r>
          </w:p>
        </w:tc>
        <w:tc>
          <w:tcPr>
            <w:tcW w:w="2268" w:type="dxa"/>
            <w:gridSpan w:val="2"/>
            <w:shd w:val="clear" w:color="auto" w:fill="auto"/>
            <w:noWrap w:val="0"/>
            <w:vAlign w:val="center"/>
          </w:tcPr>
          <w:p w14:paraId="2A3A07C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3900</w:t>
            </w:r>
          </w:p>
        </w:tc>
        <w:tc>
          <w:tcPr>
            <w:tcW w:w="3261" w:type="dxa"/>
            <w:vMerge w:val="continue"/>
            <w:noWrap w:val="0"/>
            <w:vAlign w:val="center"/>
          </w:tcPr>
          <w:p w14:paraId="6AD8ADA7">
            <w:pPr>
              <w:adjustRightInd w:val="0"/>
              <w:snapToGrid w:val="0"/>
              <w:spacing w:line="240" w:lineRule="auto"/>
              <w:jc w:val="center"/>
              <w:rPr>
                <w:rFonts w:hint="eastAsia" w:ascii="仿宋_GB2312" w:hAnsi="仿宋_GB2312" w:eastAsia="仿宋_GB2312" w:cs="仿宋_GB2312"/>
                <w:bCs/>
                <w:sz w:val="28"/>
                <w:szCs w:val="28"/>
              </w:rPr>
            </w:pPr>
          </w:p>
        </w:tc>
      </w:tr>
      <w:tr w14:paraId="335E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6B800146">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报警主机</w:t>
            </w:r>
            <w:r>
              <w:rPr>
                <w:rFonts w:hint="eastAsia" w:ascii="仿宋" w:hAnsi="仿宋" w:eastAsia="仿宋" w:cs="仿宋"/>
                <w:bCs/>
                <w:iCs/>
                <w:color w:val="000000"/>
                <w:spacing w:val="10"/>
                <w:kern w:val="0"/>
                <w:sz w:val="24"/>
                <w:szCs w:val="24"/>
                <w:highlight w:val="none"/>
                <w:lang w:val="en-US" w:eastAsia="zh-CN" w:bidi="ar-SA"/>
              </w:rPr>
              <w:t>配备</w:t>
            </w:r>
            <w:r>
              <w:rPr>
                <w:rFonts w:hint="default" w:ascii="仿宋" w:hAnsi="仿宋" w:eastAsia="仿宋" w:cs="仿宋"/>
                <w:bCs/>
                <w:iCs/>
                <w:color w:val="000000"/>
                <w:spacing w:val="10"/>
                <w:kern w:val="0"/>
                <w:sz w:val="24"/>
                <w:szCs w:val="24"/>
                <w:highlight w:val="none"/>
                <w:lang w:val="en-US" w:eastAsia="zh-CN" w:bidi="ar-SA"/>
              </w:rPr>
              <w:t>防拆</w:t>
            </w:r>
            <w:r>
              <w:rPr>
                <w:rFonts w:hint="eastAsia" w:ascii="仿宋" w:hAnsi="仿宋" w:eastAsia="仿宋" w:cs="仿宋"/>
                <w:bCs/>
                <w:iCs/>
                <w:color w:val="000000"/>
                <w:spacing w:val="10"/>
                <w:kern w:val="0"/>
                <w:sz w:val="24"/>
                <w:szCs w:val="24"/>
                <w:highlight w:val="none"/>
                <w:lang w:val="en-US" w:eastAsia="zh-CN" w:bidi="ar-SA"/>
              </w:rPr>
              <w:t>声光报警器</w:t>
            </w:r>
          </w:p>
        </w:tc>
        <w:tc>
          <w:tcPr>
            <w:tcW w:w="3272" w:type="dxa"/>
            <w:shd w:val="clear" w:color="auto" w:fill="auto"/>
            <w:noWrap w:val="0"/>
            <w:vAlign w:val="center"/>
          </w:tcPr>
          <w:p w14:paraId="3970C202">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壳体采用ADC12-T6低压铸造成型，表面橘纹喷塑处理，钢化玻璃面板，LED光源，报警声级≥100dB。</w:t>
            </w:r>
          </w:p>
        </w:tc>
        <w:tc>
          <w:tcPr>
            <w:tcW w:w="1845" w:type="dxa"/>
            <w:shd w:val="clear" w:color="auto" w:fill="auto"/>
            <w:noWrap w:val="0"/>
            <w:vAlign w:val="center"/>
          </w:tcPr>
          <w:p w14:paraId="487C21C2">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1000</w:t>
            </w:r>
          </w:p>
        </w:tc>
        <w:tc>
          <w:tcPr>
            <w:tcW w:w="1698" w:type="dxa"/>
            <w:shd w:val="clear" w:color="auto" w:fill="auto"/>
            <w:noWrap w:val="0"/>
            <w:vAlign w:val="center"/>
          </w:tcPr>
          <w:p w14:paraId="4F1B903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1台</w:t>
            </w:r>
          </w:p>
        </w:tc>
        <w:tc>
          <w:tcPr>
            <w:tcW w:w="2268" w:type="dxa"/>
            <w:gridSpan w:val="2"/>
            <w:shd w:val="clear" w:color="auto" w:fill="auto"/>
            <w:noWrap w:val="0"/>
            <w:vAlign w:val="center"/>
          </w:tcPr>
          <w:p w14:paraId="01803ACF">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1000</w:t>
            </w:r>
          </w:p>
        </w:tc>
        <w:tc>
          <w:tcPr>
            <w:tcW w:w="3261" w:type="dxa"/>
            <w:vMerge w:val="continue"/>
            <w:noWrap w:val="0"/>
            <w:vAlign w:val="center"/>
          </w:tcPr>
          <w:p w14:paraId="7868D6C5">
            <w:pPr>
              <w:adjustRightInd w:val="0"/>
              <w:snapToGrid w:val="0"/>
              <w:spacing w:line="240" w:lineRule="auto"/>
              <w:jc w:val="center"/>
              <w:rPr>
                <w:rFonts w:hint="eastAsia" w:ascii="仿宋_GB2312" w:hAnsi="仿宋_GB2312" w:eastAsia="仿宋_GB2312" w:cs="仿宋_GB2312"/>
                <w:bCs/>
                <w:sz w:val="28"/>
                <w:szCs w:val="28"/>
              </w:rPr>
            </w:pPr>
          </w:p>
        </w:tc>
      </w:tr>
      <w:tr w14:paraId="3717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6AAE262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防区键盘</w:t>
            </w:r>
            <w:r>
              <w:rPr>
                <w:rFonts w:hint="eastAsia" w:ascii="仿宋" w:hAnsi="仿宋" w:eastAsia="仿宋" w:cs="仿宋"/>
                <w:bCs/>
                <w:iCs/>
                <w:color w:val="000000"/>
                <w:spacing w:val="10"/>
                <w:kern w:val="0"/>
                <w:sz w:val="24"/>
                <w:szCs w:val="24"/>
                <w:highlight w:val="none"/>
                <w:lang w:val="en-US" w:eastAsia="zh-CN" w:bidi="ar-SA"/>
              </w:rPr>
              <w:t>新增</w:t>
            </w:r>
            <w:r>
              <w:rPr>
                <w:rFonts w:hint="default" w:ascii="仿宋" w:hAnsi="仿宋" w:eastAsia="仿宋" w:cs="仿宋"/>
                <w:bCs/>
                <w:iCs/>
                <w:color w:val="000000"/>
                <w:spacing w:val="10"/>
                <w:kern w:val="0"/>
                <w:sz w:val="24"/>
                <w:szCs w:val="24"/>
                <w:highlight w:val="none"/>
                <w:lang w:val="en-US" w:eastAsia="zh-CN" w:bidi="ar-SA"/>
              </w:rPr>
              <w:t>报警软件</w:t>
            </w:r>
          </w:p>
        </w:tc>
        <w:tc>
          <w:tcPr>
            <w:tcW w:w="3272" w:type="dxa"/>
            <w:shd w:val="clear" w:color="auto" w:fill="auto"/>
            <w:noWrap w:val="0"/>
            <w:vAlign w:val="center"/>
          </w:tcPr>
          <w:p w14:paraId="78BB9AA7">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1.报警信息接收与联动。</w:t>
            </w:r>
          </w:p>
          <w:p w14:paraId="4D15E063">
            <w:pPr>
              <w:pStyle w:val="2"/>
              <w:spacing w:line="360" w:lineRule="auto"/>
              <w:jc w:val="center"/>
              <w:rPr>
                <w:rFonts w:hint="default"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w:t>
            </w:r>
            <w:r>
              <w:rPr>
                <w:rFonts w:hint="default" w:ascii="仿宋" w:hAnsi="仿宋" w:eastAsia="仿宋" w:cs="仿宋"/>
                <w:bCs/>
                <w:iCs/>
                <w:color w:val="000000"/>
                <w:spacing w:val="10"/>
                <w:kern w:val="0"/>
                <w:sz w:val="22"/>
                <w:szCs w:val="22"/>
                <w:highlight w:val="none"/>
                <w:lang w:val="en-US" w:eastAsia="zh-CN" w:bidi="ar-SA"/>
              </w:rPr>
              <w:t>报警时可联动声音提示、弹窗图像及地图定位，提升应急响应速度。</w:t>
            </w:r>
          </w:p>
          <w:p w14:paraId="19427D8C">
            <w:pPr>
              <w:pStyle w:val="2"/>
              <w:spacing w:line="360" w:lineRule="auto"/>
              <w:jc w:val="center"/>
              <w:rPr>
                <w:rFonts w:hint="eastAsia" w:ascii="宋体" w:hAnsi="宋体" w:eastAsia="小标宋" w:cs="Times New Roman"/>
                <w:kern w:val="2"/>
                <w:sz w:val="40"/>
                <w:szCs w:val="28"/>
                <w:lang w:val="en-US" w:eastAsia="zh-CN" w:bidi="ar-SA"/>
              </w:rPr>
            </w:pPr>
            <w:r>
              <w:rPr>
                <w:rFonts w:hint="eastAsia" w:ascii="仿宋" w:hAnsi="仿宋" w:eastAsia="仿宋" w:cs="仿宋"/>
                <w:bCs/>
                <w:iCs/>
                <w:color w:val="000000"/>
                <w:spacing w:val="10"/>
                <w:kern w:val="0"/>
                <w:sz w:val="22"/>
                <w:szCs w:val="22"/>
                <w:highlight w:val="none"/>
                <w:lang w:val="en-US" w:eastAsia="zh-CN" w:bidi="ar-SA"/>
              </w:rPr>
              <w:t>3.</w:t>
            </w:r>
            <w:r>
              <w:rPr>
                <w:rFonts w:hint="default" w:ascii="仿宋" w:hAnsi="仿宋" w:eastAsia="仿宋" w:cs="仿宋"/>
                <w:bCs/>
                <w:iCs/>
                <w:color w:val="000000"/>
                <w:spacing w:val="10"/>
                <w:kern w:val="0"/>
                <w:sz w:val="22"/>
                <w:szCs w:val="22"/>
                <w:highlight w:val="none"/>
                <w:lang w:val="en-US" w:eastAsia="zh-CN" w:bidi="ar-SA"/>
              </w:rPr>
              <w:t>可与报警设备、门禁设备、可视对讲等网络监控设备配套使用的软件</w:t>
            </w:r>
            <w:r>
              <w:rPr>
                <w:rFonts w:hint="eastAsia" w:ascii="仿宋" w:hAnsi="仿宋" w:eastAsia="仿宋" w:cs="仿宋"/>
                <w:bCs/>
                <w:iCs/>
                <w:color w:val="000000"/>
                <w:spacing w:val="10"/>
                <w:kern w:val="0"/>
                <w:sz w:val="22"/>
                <w:szCs w:val="22"/>
                <w:highlight w:val="none"/>
                <w:lang w:val="en-US" w:eastAsia="zh-CN" w:bidi="ar-SA"/>
              </w:rPr>
              <w:t>。</w:t>
            </w:r>
          </w:p>
        </w:tc>
        <w:tc>
          <w:tcPr>
            <w:tcW w:w="1845" w:type="dxa"/>
            <w:shd w:val="clear" w:color="auto" w:fill="auto"/>
            <w:noWrap w:val="0"/>
            <w:vAlign w:val="center"/>
          </w:tcPr>
          <w:p w14:paraId="2E5375E5">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1000</w:t>
            </w:r>
          </w:p>
        </w:tc>
        <w:tc>
          <w:tcPr>
            <w:tcW w:w="1698" w:type="dxa"/>
            <w:shd w:val="clear" w:color="auto" w:fill="auto"/>
            <w:noWrap w:val="0"/>
            <w:vAlign w:val="center"/>
          </w:tcPr>
          <w:p w14:paraId="09B1AF4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1项</w:t>
            </w:r>
          </w:p>
        </w:tc>
        <w:tc>
          <w:tcPr>
            <w:tcW w:w="2268" w:type="dxa"/>
            <w:gridSpan w:val="2"/>
            <w:shd w:val="clear" w:color="auto" w:fill="auto"/>
            <w:noWrap w:val="0"/>
            <w:vAlign w:val="center"/>
          </w:tcPr>
          <w:p w14:paraId="228FD6C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1000</w:t>
            </w:r>
          </w:p>
        </w:tc>
        <w:tc>
          <w:tcPr>
            <w:tcW w:w="3261" w:type="dxa"/>
            <w:vMerge w:val="continue"/>
            <w:noWrap w:val="0"/>
            <w:vAlign w:val="center"/>
          </w:tcPr>
          <w:p w14:paraId="6F892E11">
            <w:pPr>
              <w:adjustRightInd w:val="0"/>
              <w:snapToGrid w:val="0"/>
              <w:spacing w:line="240" w:lineRule="auto"/>
              <w:jc w:val="center"/>
              <w:rPr>
                <w:rFonts w:hint="eastAsia" w:ascii="仿宋_GB2312" w:hAnsi="仿宋_GB2312" w:eastAsia="仿宋_GB2312" w:cs="仿宋_GB2312"/>
                <w:bCs/>
                <w:sz w:val="28"/>
                <w:szCs w:val="28"/>
              </w:rPr>
            </w:pPr>
          </w:p>
        </w:tc>
      </w:tr>
      <w:tr w14:paraId="235C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71DB731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监控硬盘</w:t>
            </w:r>
          </w:p>
        </w:tc>
        <w:tc>
          <w:tcPr>
            <w:tcW w:w="3272" w:type="dxa"/>
            <w:shd w:val="clear" w:color="auto" w:fill="auto"/>
            <w:noWrap w:val="0"/>
            <w:vAlign w:val="center"/>
          </w:tcPr>
          <w:p w14:paraId="0E496DE0">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1.容量：8TB；接口类型：SATA 6Gb/s；</w:t>
            </w:r>
          </w:p>
          <w:p w14:paraId="77DBFED4">
            <w:pPr>
              <w:pStyle w:val="2"/>
              <w:spacing w:line="360" w:lineRule="auto"/>
              <w:jc w:val="center"/>
              <w:rPr>
                <w:rFonts w:hint="default"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2.硬盘类型：监控级硬盘，支持 7×24 小时不间断连续录像工作；</w:t>
            </w:r>
          </w:p>
          <w:p w14:paraId="336DEB61">
            <w:pPr>
              <w:pStyle w:val="2"/>
              <w:spacing w:line="360" w:lineRule="auto"/>
              <w:jc w:val="center"/>
              <w:rPr>
                <w:rFonts w:hint="eastAsia" w:ascii="宋体" w:hAnsi="宋体" w:eastAsia="小标宋" w:cs="Times New Roman"/>
                <w:kern w:val="2"/>
                <w:sz w:val="40"/>
                <w:szCs w:val="28"/>
                <w:lang w:val="en-US" w:eastAsia="zh-CN" w:bidi="ar-SA"/>
              </w:rPr>
            </w:pPr>
            <w:r>
              <w:rPr>
                <w:rFonts w:hint="eastAsia" w:ascii="仿宋" w:hAnsi="仿宋" w:eastAsia="仿宋" w:cs="仿宋"/>
                <w:bCs/>
                <w:iCs/>
                <w:color w:val="000000"/>
                <w:spacing w:val="10"/>
                <w:kern w:val="0"/>
                <w:sz w:val="22"/>
                <w:szCs w:val="22"/>
                <w:highlight w:val="none"/>
                <w:lang w:val="en-US" w:eastAsia="zh-CN" w:bidi="ar-SA"/>
              </w:rPr>
              <w:t>3.适配网络硬盘录像机 NVR，满足多路视频码流并发读写；</w:t>
            </w:r>
          </w:p>
        </w:tc>
        <w:tc>
          <w:tcPr>
            <w:tcW w:w="1845" w:type="dxa"/>
            <w:shd w:val="clear" w:color="auto" w:fill="auto"/>
            <w:noWrap w:val="0"/>
            <w:vAlign w:val="center"/>
          </w:tcPr>
          <w:p w14:paraId="2FB706B6">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3200</w:t>
            </w:r>
          </w:p>
        </w:tc>
        <w:tc>
          <w:tcPr>
            <w:tcW w:w="1698" w:type="dxa"/>
            <w:shd w:val="clear" w:color="auto" w:fill="auto"/>
            <w:noWrap w:val="0"/>
            <w:vAlign w:val="center"/>
          </w:tcPr>
          <w:p w14:paraId="44B7CD0C">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1块</w:t>
            </w:r>
          </w:p>
        </w:tc>
        <w:tc>
          <w:tcPr>
            <w:tcW w:w="2268" w:type="dxa"/>
            <w:gridSpan w:val="2"/>
            <w:shd w:val="clear" w:color="auto" w:fill="auto"/>
            <w:noWrap w:val="0"/>
            <w:vAlign w:val="center"/>
          </w:tcPr>
          <w:p w14:paraId="530E747F">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3200</w:t>
            </w:r>
          </w:p>
        </w:tc>
        <w:tc>
          <w:tcPr>
            <w:tcW w:w="3261" w:type="dxa"/>
            <w:vMerge w:val="continue"/>
            <w:noWrap w:val="0"/>
            <w:vAlign w:val="center"/>
          </w:tcPr>
          <w:p w14:paraId="3812C865">
            <w:pPr>
              <w:adjustRightInd w:val="0"/>
              <w:snapToGrid w:val="0"/>
              <w:spacing w:line="240" w:lineRule="auto"/>
              <w:jc w:val="center"/>
              <w:rPr>
                <w:rFonts w:hint="eastAsia" w:ascii="仿宋_GB2312" w:hAnsi="仿宋_GB2312" w:eastAsia="仿宋_GB2312" w:cs="仿宋_GB2312"/>
                <w:bCs/>
                <w:sz w:val="28"/>
                <w:szCs w:val="28"/>
              </w:rPr>
            </w:pPr>
          </w:p>
        </w:tc>
      </w:tr>
      <w:tr w14:paraId="0F6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51CCAE0D">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监控显示器</w:t>
            </w:r>
          </w:p>
        </w:tc>
        <w:tc>
          <w:tcPr>
            <w:tcW w:w="3272" w:type="dxa"/>
            <w:shd w:val="clear" w:color="auto" w:fill="auto"/>
            <w:noWrap w:val="0"/>
            <w:vAlign w:val="center"/>
          </w:tcPr>
          <w:p w14:paraId="4BAACA12">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1.屏幕尺寸：31.5 英寸，16:9，IPS 液晶面板；</w:t>
            </w:r>
          </w:p>
          <w:p w14:paraId="55173305">
            <w:pPr>
              <w:pStyle w:val="2"/>
              <w:spacing w:line="360" w:lineRule="auto"/>
              <w:jc w:val="center"/>
              <w:rPr>
                <w:rFonts w:hint="default"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2.分辨率：1920×1080（1080P 全高清）；</w:t>
            </w:r>
          </w:p>
          <w:p w14:paraId="1EFF59F3">
            <w:pPr>
              <w:pStyle w:val="2"/>
              <w:spacing w:line="360" w:lineRule="auto"/>
              <w:jc w:val="center"/>
              <w:rPr>
                <w:rFonts w:hint="default"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3.输入接口：HDMI、VGA，兼容 NVR、安防客户端主机信号输出；</w:t>
            </w:r>
          </w:p>
          <w:p w14:paraId="3C1160F2">
            <w:pPr>
              <w:pStyle w:val="2"/>
              <w:spacing w:line="360" w:lineRule="auto"/>
              <w:jc w:val="center"/>
              <w:rPr>
                <w:rFonts w:hint="eastAsia" w:ascii="宋体" w:hAnsi="宋体" w:eastAsia="小标宋" w:cs="Times New Roman"/>
                <w:kern w:val="2"/>
                <w:sz w:val="40"/>
                <w:szCs w:val="28"/>
                <w:lang w:val="en-US" w:eastAsia="zh-CN" w:bidi="ar-SA"/>
              </w:rPr>
            </w:pPr>
            <w:r>
              <w:rPr>
                <w:rFonts w:hint="eastAsia" w:ascii="仿宋" w:hAnsi="仿宋" w:eastAsia="仿宋" w:cs="仿宋"/>
                <w:bCs/>
                <w:iCs/>
                <w:color w:val="000000"/>
                <w:spacing w:val="10"/>
                <w:kern w:val="0"/>
                <w:sz w:val="22"/>
                <w:szCs w:val="22"/>
                <w:highlight w:val="none"/>
                <w:lang w:val="en-US" w:eastAsia="zh-CN" w:bidi="ar-SA"/>
              </w:rPr>
              <w:t>4.支持 7×24 小时不间断长时间值守运行，适配安防监控场景；</w:t>
            </w:r>
          </w:p>
        </w:tc>
        <w:tc>
          <w:tcPr>
            <w:tcW w:w="1845" w:type="dxa"/>
            <w:shd w:val="clear" w:color="auto" w:fill="auto"/>
            <w:noWrap w:val="0"/>
            <w:vAlign w:val="center"/>
          </w:tcPr>
          <w:p w14:paraId="26E732A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2000</w:t>
            </w:r>
          </w:p>
        </w:tc>
        <w:tc>
          <w:tcPr>
            <w:tcW w:w="1698" w:type="dxa"/>
            <w:shd w:val="clear" w:color="auto" w:fill="auto"/>
            <w:noWrap w:val="0"/>
            <w:vAlign w:val="center"/>
          </w:tcPr>
          <w:p w14:paraId="3E757203">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1台</w:t>
            </w:r>
          </w:p>
        </w:tc>
        <w:tc>
          <w:tcPr>
            <w:tcW w:w="2268" w:type="dxa"/>
            <w:gridSpan w:val="2"/>
            <w:shd w:val="clear" w:color="auto" w:fill="auto"/>
            <w:noWrap w:val="0"/>
            <w:vAlign w:val="center"/>
          </w:tcPr>
          <w:p w14:paraId="3B65D53F">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2000</w:t>
            </w:r>
          </w:p>
        </w:tc>
        <w:tc>
          <w:tcPr>
            <w:tcW w:w="3261" w:type="dxa"/>
            <w:vMerge w:val="continue"/>
            <w:noWrap w:val="0"/>
            <w:vAlign w:val="center"/>
          </w:tcPr>
          <w:p w14:paraId="07B0E22D">
            <w:pPr>
              <w:adjustRightInd w:val="0"/>
              <w:snapToGrid w:val="0"/>
              <w:spacing w:line="240" w:lineRule="auto"/>
              <w:jc w:val="center"/>
              <w:rPr>
                <w:rFonts w:hint="eastAsia" w:ascii="仿宋_GB2312" w:hAnsi="仿宋_GB2312" w:eastAsia="仿宋_GB2312" w:cs="仿宋_GB2312"/>
                <w:bCs/>
                <w:sz w:val="28"/>
                <w:szCs w:val="28"/>
              </w:rPr>
            </w:pPr>
          </w:p>
        </w:tc>
      </w:tr>
      <w:tr w14:paraId="660D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61642FA7">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高拍仪</w:t>
            </w:r>
          </w:p>
        </w:tc>
        <w:tc>
          <w:tcPr>
            <w:tcW w:w="3272" w:type="dxa"/>
            <w:shd w:val="clear" w:color="auto" w:fill="auto"/>
            <w:noWrap w:val="0"/>
            <w:vAlign w:val="center"/>
          </w:tcPr>
          <w:p w14:paraId="7397C575">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1.摄像头臂上下可在0-90°任意位置弯折悬停、前后可180°旋转、主机和支架可分离机构设计，能俯拍作业，水平拍摄，手持拍摄。（提供第三方检测认证机构出具的权威检测报告复印件并加盖原厂公章）</w:t>
            </w:r>
          </w:p>
          <w:p w14:paraId="6691D3EB">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2.俯拍情况下，拍摄角度可覆盖A3画幅。</w:t>
            </w:r>
          </w:p>
          <w:p w14:paraId="7B155049">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3.主机具备显示屏幕，可实时预览拍摄的范围</w:t>
            </w:r>
          </w:p>
        </w:tc>
        <w:tc>
          <w:tcPr>
            <w:tcW w:w="1845" w:type="dxa"/>
            <w:shd w:val="clear" w:color="auto" w:fill="auto"/>
            <w:noWrap w:val="0"/>
            <w:vAlign w:val="center"/>
          </w:tcPr>
          <w:p w14:paraId="30910324">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1200</w:t>
            </w:r>
          </w:p>
        </w:tc>
        <w:tc>
          <w:tcPr>
            <w:tcW w:w="1698" w:type="dxa"/>
            <w:shd w:val="clear" w:color="auto" w:fill="auto"/>
            <w:noWrap w:val="0"/>
            <w:vAlign w:val="center"/>
          </w:tcPr>
          <w:p w14:paraId="3240D7AC">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1台</w:t>
            </w:r>
          </w:p>
        </w:tc>
        <w:tc>
          <w:tcPr>
            <w:tcW w:w="2268" w:type="dxa"/>
            <w:gridSpan w:val="2"/>
            <w:shd w:val="clear" w:color="auto" w:fill="auto"/>
            <w:noWrap w:val="0"/>
            <w:vAlign w:val="center"/>
          </w:tcPr>
          <w:p w14:paraId="7F63FC3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1200</w:t>
            </w:r>
          </w:p>
        </w:tc>
        <w:tc>
          <w:tcPr>
            <w:tcW w:w="3261" w:type="dxa"/>
            <w:vMerge w:val="continue"/>
            <w:noWrap w:val="0"/>
            <w:vAlign w:val="center"/>
          </w:tcPr>
          <w:p w14:paraId="6A659051">
            <w:pPr>
              <w:adjustRightInd w:val="0"/>
              <w:snapToGrid w:val="0"/>
              <w:spacing w:line="240" w:lineRule="auto"/>
              <w:jc w:val="center"/>
              <w:rPr>
                <w:rFonts w:hint="eastAsia" w:ascii="仿宋_GB2312" w:hAnsi="仿宋_GB2312" w:eastAsia="仿宋_GB2312" w:cs="仿宋_GB2312"/>
                <w:bCs/>
                <w:sz w:val="28"/>
                <w:szCs w:val="28"/>
              </w:rPr>
            </w:pPr>
          </w:p>
        </w:tc>
      </w:tr>
      <w:tr w14:paraId="459C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00C9FB06">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玻璃贴膜</w:t>
            </w:r>
          </w:p>
        </w:tc>
        <w:tc>
          <w:tcPr>
            <w:tcW w:w="3272" w:type="dxa"/>
            <w:shd w:val="clear" w:color="auto" w:fill="auto"/>
            <w:noWrap w:val="0"/>
            <w:vAlign w:val="center"/>
          </w:tcPr>
          <w:p w14:paraId="78441273">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从物理层面阻断外部视线窥探，防止危化品存储信息外泄</w:t>
            </w:r>
          </w:p>
        </w:tc>
        <w:tc>
          <w:tcPr>
            <w:tcW w:w="1845" w:type="dxa"/>
            <w:shd w:val="clear" w:color="auto" w:fill="auto"/>
            <w:noWrap w:val="0"/>
            <w:vAlign w:val="center"/>
          </w:tcPr>
          <w:p w14:paraId="0B90C64C">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500</w:t>
            </w:r>
          </w:p>
        </w:tc>
        <w:tc>
          <w:tcPr>
            <w:tcW w:w="1698" w:type="dxa"/>
            <w:shd w:val="clear" w:color="auto" w:fill="auto"/>
            <w:noWrap w:val="0"/>
            <w:vAlign w:val="center"/>
          </w:tcPr>
          <w:p w14:paraId="58AC3AA9">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1项</w:t>
            </w:r>
          </w:p>
        </w:tc>
        <w:tc>
          <w:tcPr>
            <w:tcW w:w="2268" w:type="dxa"/>
            <w:gridSpan w:val="2"/>
            <w:shd w:val="clear" w:color="auto" w:fill="auto"/>
            <w:noWrap w:val="0"/>
            <w:vAlign w:val="center"/>
          </w:tcPr>
          <w:p w14:paraId="1670A9D5">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500</w:t>
            </w:r>
          </w:p>
        </w:tc>
        <w:tc>
          <w:tcPr>
            <w:tcW w:w="3261" w:type="dxa"/>
            <w:vMerge w:val="continue"/>
            <w:noWrap w:val="0"/>
            <w:vAlign w:val="center"/>
          </w:tcPr>
          <w:p w14:paraId="57C58152">
            <w:pPr>
              <w:adjustRightInd w:val="0"/>
              <w:snapToGrid w:val="0"/>
              <w:spacing w:line="240" w:lineRule="auto"/>
              <w:jc w:val="center"/>
              <w:rPr>
                <w:rFonts w:hint="eastAsia" w:ascii="仿宋_GB2312" w:hAnsi="仿宋_GB2312" w:eastAsia="仿宋_GB2312" w:cs="仿宋_GB2312"/>
                <w:bCs/>
                <w:sz w:val="28"/>
                <w:szCs w:val="28"/>
              </w:rPr>
            </w:pPr>
          </w:p>
        </w:tc>
      </w:tr>
      <w:tr w14:paraId="3FAA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789DB59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不锈钢</w:t>
            </w:r>
            <w:r>
              <w:rPr>
                <w:rFonts w:hint="eastAsia" w:ascii="仿宋" w:hAnsi="仿宋" w:eastAsia="仿宋" w:cs="仿宋"/>
                <w:bCs/>
                <w:iCs/>
                <w:color w:val="000000"/>
                <w:spacing w:val="10"/>
                <w:kern w:val="0"/>
                <w:sz w:val="24"/>
                <w:szCs w:val="24"/>
                <w:highlight w:val="none"/>
                <w:lang w:val="en-US" w:eastAsia="zh-CN" w:bidi="ar-SA"/>
              </w:rPr>
              <w:t>防爆</w:t>
            </w:r>
            <w:r>
              <w:rPr>
                <w:rFonts w:hint="default" w:ascii="仿宋" w:hAnsi="仿宋" w:eastAsia="仿宋" w:cs="仿宋"/>
                <w:bCs/>
                <w:iCs/>
                <w:color w:val="000000"/>
                <w:spacing w:val="10"/>
                <w:kern w:val="0"/>
                <w:sz w:val="24"/>
                <w:szCs w:val="24"/>
                <w:highlight w:val="none"/>
                <w:lang w:val="en-US" w:eastAsia="zh-CN" w:bidi="ar-SA"/>
              </w:rPr>
              <w:t>摄像头支架</w:t>
            </w:r>
          </w:p>
        </w:tc>
        <w:tc>
          <w:tcPr>
            <w:tcW w:w="3272" w:type="dxa"/>
            <w:shd w:val="clear" w:color="auto" w:fill="auto"/>
            <w:noWrap w:val="0"/>
            <w:vAlign w:val="center"/>
          </w:tcPr>
          <w:p w14:paraId="4F125572">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1.材质：采用304 不锈钢，具备优良防腐、防锈性能，适应室外潮湿、腐蚀环境；</w:t>
            </w:r>
          </w:p>
          <w:p w14:paraId="67CC3AD4">
            <w:pPr>
              <w:pStyle w:val="2"/>
              <w:spacing w:line="360" w:lineRule="auto"/>
              <w:jc w:val="center"/>
              <w:rPr>
                <w:rFonts w:hint="default"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2.产品用途：配套防爆摄像机安装使用，适用于易燃易爆危险场所；</w:t>
            </w:r>
          </w:p>
          <w:p w14:paraId="3699928A">
            <w:pPr>
              <w:pStyle w:val="2"/>
              <w:spacing w:line="360" w:lineRule="auto"/>
              <w:jc w:val="center"/>
              <w:rPr>
                <w:rFonts w:hint="eastAsia" w:ascii="宋体" w:hAnsi="宋体" w:eastAsia="小标宋" w:cs="Times New Roman"/>
                <w:kern w:val="2"/>
                <w:sz w:val="40"/>
                <w:szCs w:val="28"/>
                <w:lang w:val="en-US" w:eastAsia="zh-CN" w:bidi="ar-SA"/>
              </w:rPr>
            </w:pPr>
            <w:r>
              <w:rPr>
                <w:rFonts w:hint="eastAsia" w:ascii="仿宋" w:hAnsi="仿宋" w:eastAsia="仿宋" w:cs="仿宋"/>
                <w:bCs/>
                <w:iCs/>
                <w:color w:val="000000"/>
                <w:spacing w:val="10"/>
                <w:kern w:val="0"/>
                <w:sz w:val="22"/>
                <w:szCs w:val="22"/>
                <w:highlight w:val="none"/>
                <w:lang w:val="en-US" w:eastAsia="zh-CN" w:bidi="ar-SA"/>
              </w:rPr>
              <w:t>3.表面处理：不锈钢原色 / 拉丝处理，无需喷涂，耐盐雾、耐雨水侵蚀；</w:t>
            </w:r>
          </w:p>
        </w:tc>
        <w:tc>
          <w:tcPr>
            <w:tcW w:w="1845" w:type="dxa"/>
            <w:shd w:val="clear" w:color="auto" w:fill="auto"/>
            <w:noWrap w:val="0"/>
            <w:vAlign w:val="center"/>
          </w:tcPr>
          <w:p w14:paraId="35C442AC">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300</w:t>
            </w:r>
          </w:p>
        </w:tc>
        <w:tc>
          <w:tcPr>
            <w:tcW w:w="1698" w:type="dxa"/>
            <w:shd w:val="clear" w:color="auto" w:fill="auto"/>
            <w:noWrap w:val="0"/>
            <w:vAlign w:val="center"/>
          </w:tcPr>
          <w:p w14:paraId="3773609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6个</w:t>
            </w:r>
          </w:p>
        </w:tc>
        <w:tc>
          <w:tcPr>
            <w:tcW w:w="2268" w:type="dxa"/>
            <w:gridSpan w:val="2"/>
            <w:shd w:val="clear" w:color="auto" w:fill="auto"/>
            <w:noWrap w:val="0"/>
            <w:vAlign w:val="center"/>
          </w:tcPr>
          <w:p w14:paraId="453D072C">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1800</w:t>
            </w:r>
          </w:p>
        </w:tc>
        <w:tc>
          <w:tcPr>
            <w:tcW w:w="3261" w:type="dxa"/>
            <w:vMerge w:val="continue"/>
            <w:noWrap w:val="0"/>
            <w:vAlign w:val="center"/>
          </w:tcPr>
          <w:p w14:paraId="52879904">
            <w:pPr>
              <w:adjustRightInd w:val="0"/>
              <w:snapToGrid w:val="0"/>
              <w:spacing w:line="240" w:lineRule="auto"/>
              <w:jc w:val="center"/>
              <w:rPr>
                <w:rFonts w:hint="eastAsia" w:ascii="仿宋_GB2312" w:hAnsi="仿宋_GB2312" w:eastAsia="仿宋_GB2312" w:cs="仿宋_GB2312"/>
                <w:bCs/>
                <w:sz w:val="28"/>
                <w:szCs w:val="28"/>
              </w:rPr>
            </w:pPr>
          </w:p>
        </w:tc>
      </w:tr>
      <w:tr w14:paraId="1268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0B5C6E83">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防爆接线盒</w:t>
            </w:r>
          </w:p>
        </w:tc>
        <w:tc>
          <w:tcPr>
            <w:tcW w:w="3272" w:type="dxa"/>
            <w:shd w:val="clear" w:color="auto" w:fill="auto"/>
            <w:noWrap w:val="0"/>
            <w:vAlign w:val="center"/>
          </w:tcPr>
          <w:p w14:paraId="1FC56448">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1.隔爆型防爆结构，壳体可选 304 不锈钢 / 铸铝合金，配备电缆引入接头，内部设有接线端子；适用于易燃易爆危险区域监控线缆转接，防腐防水。</w:t>
            </w:r>
          </w:p>
        </w:tc>
        <w:tc>
          <w:tcPr>
            <w:tcW w:w="1845" w:type="dxa"/>
            <w:shd w:val="clear" w:color="auto" w:fill="auto"/>
            <w:noWrap w:val="0"/>
            <w:vAlign w:val="center"/>
          </w:tcPr>
          <w:p w14:paraId="14412CF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600</w:t>
            </w:r>
          </w:p>
        </w:tc>
        <w:tc>
          <w:tcPr>
            <w:tcW w:w="1698" w:type="dxa"/>
            <w:shd w:val="clear" w:color="auto" w:fill="auto"/>
            <w:noWrap w:val="0"/>
            <w:vAlign w:val="center"/>
          </w:tcPr>
          <w:p w14:paraId="0D21EB16">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16个</w:t>
            </w:r>
          </w:p>
        </w:tc>
        <w:tc>
          <w:tcPr>
            <w:tcW w:w="2268" w:type="dxa"/>
            <w:gridSpan w:val="2"/>
            <w:shd w:val="clear" w:color="auto" w:fill="auto"/>
            <w:noWrap w:val="0"/>
            <w:vAlign w:val="center"/>
          </w:tcPr>
          <w:p w14:paraId="1E108584">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9600</w:t>
            </w:r>
          </w:p>
        </w:tc>
        <w:tc>
          <w:tcPr>
            <w:tcW w:w="3261" w:type="dxa"/>
            <w:vMerge w:val="continue"/>
            <w:noWrap w:val="0"/>
            <w:vAlign w:val="center"/>
          </w:tcPr>
          <w:p w14:paraId="4B2EB195">
            <w:pPr>
              <w:adjustRightInd w:val="0"/>
              <w:snapToGrid w:val="0"/>
              <w:spacing w:line="240" w:lineRule="auto"/>
              <w:jc w:val="center"/>
              <w:rPr>
                <w:rFonts w:hint="eastAsia" w:ascii="仿宋_GB2312" w:hAnsi="仿宋_GB2312" w:eastAsia="仿宋_GB2312" w:cs="仿宋_GB2312"/>
                <w:bCs/>
                <w:sz w:val="28"/>
                <w:szCs w:val="28"/>
              </w:rPr>
            </w:pPr>
          </w:p>
        </w:tc>
      </w:tr>
      <w:tr w14:paraId="4180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12F55CA5">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电缆（200米/卷）</w:t>
            </w:r>
          </w:p>
        </w:tc>
        <w:tc>
          <w:tcPr>
            <w:tcW w:w="3272" w:type="dxa"/>
            <w:shd w:val="clear" w:color="auto" w:fill="auto"/>
            <w:noWrap w:val="0"/>
            <w:vAlign w:val="center"/>
          </w:tcPr>
          <w:p w14:paraId="43A5C17E">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1.RVV 3×4.0mm² 铜芯聚氯乙烯绝缘聚氯乙烯护套软电缆；导体 3 芯，单芯截面积 4.0mm²；额定电压 300/500V，铜芯材质，绝缘护套阻燃，适用于室内外安防设备供电敷设。</w:t>
            </w:r>
          </w:p>
        </w:tc>
        <w:tc>
          <w:tcPr>
            <w:tcW w:w="1845" w:type="dxa"/>
            <w:shd w:val="clear" w:color="auto" w:fill="auto"/>
            <w:noWrap w:val="0"/>
            <w:vAlign w:val="center"/>
          </w:tcPr>
          <w:p w14:paraId="5708931F">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4000</w:t>
            </w:r>
          </w:p>
        </w:tc>
        <w:tc>
          <w:tcPr>
            <w:tcW w:w="1698" w:type="dxa"/>
            <w:shd w:val="clear" w:color="auto" w:fill="auto"/>
            <w:noWrap w:val="0"/>
            <w:vAlign w:val="center"/>
          </w:tcPr>
          <w:p w14:paraId="3129E724">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1卷</w:t>
            </w:r>
          </w:p>
        </w:tc>
        <w:tc>
          <w:tcPr>
            <w:tcW w:w="2268" w:type="dxa"/>
            <w:gridSpan w:val="2"/>
            <w:shd w:val="clear" w:color="auto" w:fill="auto"/>
            <w:noWrap w:val="0"/>
            <w:vAlign w:val="center"/>
          </w:tcPr>
          <w:p w14:paraId="139F27B2">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4000</w:t>
            </w:r>
          </w:p>
        </w:tc>
        <w:tc>
          <w:tcPr>
            <w:tcW w:w="3261" w:type="dxa"/>
            <w:vMerge w:val="continue"/>
            <w:noWrap w:val="0"/>
            <w:vAlign w:val="center"/>
          </w:tcPr>
          <w:p w14:paraId="7C04678D">
            <w:pPr>
              <w:adjustRightInd w:val="0"/>
              <w:snapToGrid w:val="0"/>
              <w:spacing w:line="240" w:lineRule="auto"/>
              <w:jc w:val="center"/>
              <w:rPr>
                <w:rFonts w:hint="eastAsia" w:ascii="仿宋_GB2312" w:hAnsi="仿宋_GB2312" w:eastAsia="仿宋_GB2312" w:cs="仿宋_GB2312"/>
                <w:bCs/>
                <w:sz w:val="28"/>
                <w:szCs w:val="28"/>
              </w:rPr>
            </w:pPr>
          </w:p>
        </w:tc>
      </w:tr>
      <w:tr w14:paraId="15DA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58F0C753">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监控网线</w:t>
            </w:r>
          </w:p>
        </w:tc>
        <w:tc>
          <w:tcPr>
            <w:tcW w:w="3272" w:type="dxa"/>
            <w:shd w:val="clear" w:color="auto" w:fill="auto"/>
            <w:noWrap w:val="0"/>
            <w:vAlign w:val="center"/>
          </w:tcPr>
          <w:p w14:paraId="7FBAEF40">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1.CAT6A 超六类网线，4 对 8 芯无氧铜导体，单芯 0.5mm，带宽≥500MHz，支持万兆网络传输；PVC 外护套，适合监控、安防设备网络信号传输，可穿管敷设。</w:t>
            </w:r>
          </w:p>
        </w:tc>
        <w:tc>
          <w:tcPr>
            <w:tcW w:w="1845" w:type="dxa"/>
            <w:shd w:val="clear" w:color="auto" w:fill="auto"/>
            <w:noWrap w:val="0"/>
            <w:vAlign w:val="center"/>
          </w:tcPr>
          <w:p w14:paraId="18B15D8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800</w:t>
            </w:r>
          </w:p>
        </w:tc>
        <w:tc>
          <w:tcPr>
            <w:tcW w:w="1698" w:type="dxa"/>
            <w:shd w:val="clear" w:color="auto" w:fill="auto"/>
            <w:noWrap w:val="0"/>
            <w:vAlign w:val="center"/>
          </w:tcPr>
          <w:p w14:paraId="4D4BFF40">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2箱</w:t>
            </w:r>
          </w:p>
        </w:tc>
        <w:tc>
          <w:tcPr>
            <w:tcW w:w="2268" w:type="dxa"/>
            <w:gridSpan w:val="2"/>
            <w:shd w:val="clear" w:color="auto" w:fill="auto"/>
            <w:noWrap w:val="0"/>
            <w:vAlign w:val="center"/>
          </w:tcPr>
          <w:p w14:paraId="63EF8C24">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1600</w:t>
            </w:r>
          </w:p>
        </w:tc>
        <w:tc>
          <w:tcPr>
            <w:tcW w:w="3261" w:type="dxa"/>
            <w:vMerge w:val="continue"/>
            <w:noWrap w:val="0"/>
            <w:vAlign w:val="center"/>
          </w:tcPr>
          <w:p w14:paraId="6F428F04">
            <w:pPr>
              <w:adjustRightInd w:val="0"/>
              <w:snapToGrid w:val="0"/>
              <w:spacing w:line="240" w:lineRule="auto"/>
              <w:jc w:val="center"/>
              <w:rPr>
                <w:rFonts w:hint="eastAsia" w:ascii="仿宋_GB2312" w:hAnsi="仿宋_GB2312" w:eastAsia="仿宋_GB2312" w:cs="仿宋_GB2312"/>
                <w:bCs/>
                <w:sz w:val="28"/>
                <w:szCs w:val="28"/>
              </w:rPr>
            </w:pPr>
          </w:p>
        </w:tc>
      </w:tr>
      <w:tr w14:paraId="43CD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44A1683F">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镀锌管</w:t>
            </w:r>
          </w:p>
        </w:tc>
        <w:tc>
          <w:tcPr>
            <w:tcW w:w="3272" w:type="dxa"/>
            <w:shd w:val="clear" w:color="auto" w:fill="auto"/>
            <w:noWrap w:val="0"/>
            <w:vAlign w:val="center"/>
          </w:tcPr>
          <w:p w14:paraId="5ED8DBF8">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1.冷轧钢带双面镀锌，配套紧定式直接、弯头、管卡；</w:t>
            </w:r>
          </w:p>
        </w:tc>
        <w:tc>
          <w:tcPr>
            <w:tcW w:w="1845" w:type="dxa"/>
            <w:shd w:val="clear" w:color="auto" w:fill="auto"/>
            <w:noWrap w:val="0"/>
            <w:vAlign w:val="center"/>
          </w:tcPr>
          <w:p w14:paraId="6E0D2ADE">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30</w:t>
            </w:r>
          </w:p>
        </w:tc>
        <w:tc>
          <w:tcPr>
            <w:tcW w:w="1698" w:type="dxa"/>
            <w:shd w:val="clear" w:color="auto" w:fill="auto"/>
            <w:noWrap w:val="0"/>
            <w:vAlign w:val="center"/>
          </w:tcPr>
          <w:p w14:paraId="07CD8731">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30根</w:t>
            </w:r>
          </w:p>
        </w:tc>
        <w:tc>
          <w:tcPr>
            <w:tcW w:w="2268" w:type="dxa"/>
            <w:gridSpan w:val="2"/>
            <w:shd w:val="clear" w:color="auto" w:fill="auto"/>
            <w:noWrap w:val="0"/>
            <w:vAlign w:val="center"/>
          </w:tcPr>
          <w:p w14:paraId="43CF94B1">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900</w:t>
            </w:r>
          </w:p>
        </w:tc>
        <w:tc>
          <w:tcPr>
            <w:tcW w:w="3261" w:type="dxa"/>
            <w:vMerge w:val="continue"/>
            <w:noWrap w:val="0"/>
            <w:vAlign w:val="center"/>
          </w:tcPr>
          <w:p w14:paraId="0C7C081E">
            <w:pPr>
              <w:adjustRightInd w:val="0"/>
              <w:snapToGrid w:val="0"/>
              <w:spacing w:line="240" w:lineRule="auto"/>
              <w:jc w:val="center"/>
              <w:rPr>
                <w:rFonts w:hint="eastAsia" w:ascii="仿宋_GB2312" w:hAnsi="仿宋_GB2312" w:eastAsia="仿宋_GB2312" w:cs="仿宋_GB2312"/>
                <w:bCs/>
                <w:sz w:val="28"/>
                <w:szCs w:val="28"/>
              </w:rPr>
            </w:pPr>
          </w:p>
        </w:tc>
      </w:tr>
      <w:tr w14:paraId="1D1D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70" w:type="dxa"/>
            <w:shd w:val="clear" w:color="auto" w:fill="auto"/>
            <w:noWrap w:val="0"/>
            <w:vAlign w:val="center"/>
          </w:tcPr>
          <w:p w14:paraId="20FE3E88">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default" w:ascii="仿宋" w:hAnsi="仿宋" w:eastAsia="仿宋" w:cs="仿宋"/>
                <w:bCs/>
                <w:iCs/>
                <w:color w:val="000000"/>
                <w:spacing w:val="10"/>
                <w:kern w:val="0"/>
                <w:sz w:val="24"/>
                <w:szCs w:val="24"/>
                <w:highlight w:val="none"/>
                <w:lang w:val="en-US" w:eastAsia="zh-CN" w:bidi="ar-SA"/>
              </w:rPr>
              <w:t>防爆挠管</w:t>
            </w:r>
          </w:p>
        </w:tc>
        <w:tc>
          <w:tcPr>
            <w:tcW w:w="3272" w:type="dxa"/>
            <w:shd w:val="clear" w:color="auto" w:fill="auto"/>
            <w:noWrap w:val="0"/>
            <w:vAlign w:val="center"/>
          </w:tcPr>
          <w:p w14:paraId="4E91A080">
            <w:pPr>
              <w:pStyle w:val="2"/>
              <w:spacing w:line="360" w:lineRule="auto"/>
              <w:jc w:val="center"/>
              <w:rPr>
                <w:rFonts w:hint="eastAsia" w:ascii="仿宋" w:hAnsi="仿宋" w:eastAsia="仿宋" w:cs="仿宋"/>
                <w:bCs/>
                <w:iCs/>
                <w:color w:val="000000"/>
                <w:spacing w:val="10"/>
                <w:kern w:val="0"/>
                <w:sz w:val="22"/>
                <w:szCs w:val="22"/>
                <w:highlight w:val="none"/>
                <w:lang w:val="en-US" w:eastAsia="zh-CN" w:bidi="ar-SA"/>
              </w:rPr>
            </w:pPr>
            <w:r>
              <w:rPr>
                <w:rFonts w:hint="eastAsia" w:ascii="仿宋" w:hAnsi="仿宋" w:eastAsia="仿宋" w:cs="仿宋"/>
                <w:bCs/>
                <w:iCs/>
                <w:color w:val="000000"/>
                <w:spacing w:val="10"/>
                <w:kern w:val="0"/>
                <w:sz w:val="22"/>
                <w:szCs w:val="22"/>
                <w:highlight w:val="none"/>
                <w:lang w:val="en-US" w:eastAsia="zh-CN" w:bidi="ar-SA"/>
              </w:rPr>
              <w:t>1.两端防爆螺纹接头；用于防爆设备与穿线钢管柔性过渡连接，具备防爆、防水、耐腐蚀特性，</w:t>
            </w:r>
          </w:p>
        </w:tc>
        <w:tc>
          <w:tcPr>
            <w:tcW w:w="1845" w:type="dxa"/>
            <w:shd w:val="clear" w:color="auto" w:fill="auto"/>
            <w:noWrap w:val="0"/>
            <w:vAlign w:val="center"/>
          </w:tcPr>
          <w:p w14:paraId="4C5854AA">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300</w:t>
            </w:r>
          </w:p>
        </w:tc>
        <w:tc>
          <w:tcPr>
            <w:tcW w:w="1698" w:type="dxa"/>
            <w:shd w:val="clear" w:color="auto" w:fill="auto"/>
            <w:noWrap w:val="0"/>
            <w:vAlign w:val="center"/>
          </w:tcPr>
          <w:p w14:paraId="356538BE">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16根</w:t>
            </w:r>
          </w:p>
        </w:tc>
        <w:tc>
          <w:tcPr>
            <w:tcW w:w="2268" w:type="dxa"/>
            <w:gridSpan w:val="2"/>
            <w:shd w:val="clear" w:color="auto" w:fill="auto"/>
            <w:noWrap w:val="0"/>
            <w:vAlign w:val="center"/>
          </w:tcPr>
          <w:p w14:paraId="0708A5AB">
            <w:pPr>
              <w:pStyle w:val="2"/>
              <w:spacing w:line="360" w:lineRule="auto"/>
              <w:jc w:val="center"/>
              <w:rPr>
                <w:rFonts w:hint="eastAsia" w:ascii="仿宋" w:hAnsi="仿宋" w:eastAsia="仿宋" w:cs="仿宋"/>
                <w:bCs/>
                <w:iCs/>
                <w:color w:val="000000"/>
                <w:spacing w:val="10"/>
                <w:kern w:val="0"/>
                <w:sz w:val="24"/>
                <w:szCs w:val="24"/>
                <w:highlight w:val="none"/>
                <w:lang w:val="en-US" w:eastAsia="zh-CN" w:bidi="ar-SA"/>
              </w:rPr>
            </w:pPr>
            <w:r>
              <w:rPr>
                <w:rFonts w:hint="eastAsia" w:ascii="仿宋" w:hAnsi="仿宋" w:eastAsia="仿宋" w:cs="仿宋"/>
                <w:bCs/>
                <w:iCs/>
                <w:color w:val="000000"/>
                <w:spacing w:val="10"/>
                <w:kern w:val="0"/>
                <w:sz w:val="24"/>
                <w:szCs w:val="24"/>
                <w:highlight w:val="none"/>
                <w:lang w:val="en-US" w:eastAsia="zh-CN" w:bidi="ar-SA"/>
              </w:rPr>
              <w:t>4800</w:t>
            </w:r>
          </w:p>
        </w:tc>
        <w:tc>
          <w:tcPr>
            <w:tcW w:w="3261" w:type="dxa"/>
            <w:vMerge w:val="continue"/>
            <w:noWrap w:val="0"/>
            <w:vAlign w:val="center"/>
          </w:tcPr>
          <w:p w14:paraId="5701B563">
            <w:pPr>
              <w:adjustRightInd w:val="0"/>
              <w:snapToGrid w:val="0"/>
              <w:spacing w:line="240" w:lineRule="auto"/>
              <w:jc w:val="center"/>
              <w:rPr>
                <w:rFonts w:hint="eastAsia" w:ascii="仿宋_GB2312" w:hAnsi="仿宋_GB2312" w:eastAsia="仿宋_GB2312" w:cs="仿宋_GB2312"/>
                <w:bCs/>
                <w:sz w:val="28"/>
                <w:szCs w:val="28"/>
              </w:rPr>
            </w:pPr>
          </w:p>
        </w:tc>
      </w:tr>
      <w:tr w14:paraId="2D41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14" w:type="dxa"/>
            <w:gridSpan w:val="7"/>
            <w:noWrap w:val="0"/>
            <w:vAlign w:val="center"/>
          </w:tcPr>
          <w:p w14:paraId="17590193">
            <w:pPr>
              <w:adjustRightInd w:val="0"/>
              <w:snapToGrid w:val="0"/>
              <w:spacing w:line="240" w:lineRule="auto"/>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 w:val="0"/>
                <w:bCs/>
                <w:sz w:val="28"/>
                <w:szCs w:val="28"/>
              </w:rPr>
              <w:t>合计总价：</w:t>
            </w:r>
            <w:r>
              <w:rPr>
                <w:rFonts w:hint="eastAsia" w:ascii="仿宋_GB2312" w:hAnsi="仿宋_GB2312" w:eastAsia="仿宋_GB2312" w:cs="仿宋_GB2312"/>
                <w:b w:val="0"/>
                <w:bCs/>
                <w:sz w:val="28"/>
                <w:szCs w:val="28"/>
                <w:lang w:val="en-US" w:eastAsia="zh-CN"/>
              </w:rPr>
              <w:t>40460元</w:t>
            </w:r>
          </w:p>
        </w:tc>
      </w:tr>
    </w:tbl>
    <w:p w14:paraId="41B12779">
      <w:pPr>
        <w:adjustRightInd w:val="0"/>
        <w:snapToGrid w:val="0"/>
        <w:spacing w:line="240" w:lineRule="exact"/>
        <w:jc w:val="center"/>
        <w:rPr>
          <w:rFonts w:ascii="黑体" w:hAnsi="黑体" w:eastAsia="黑体" w:cs="方正小标宋简体"/>
          <w:bCs/>
          <w:sz w:val="44"/>
          <w:szCs w:val="44"/>
        </w:rPr>
      </w:pPr>
    </w:p>
    <w:p w14:paraId="5DAFB46A"/>
    <w:p w14:paraId="50E3842C"/>
    <w:p w14:paraId="3C2DACBE">
      <w:pPr>
        <w:adjustRightInd w:val="0"/>
        <w:snapToGrid w:val="0"/>
        <w:spacing w:line="240" w:lineRule="auto"/>
        <w:jc w:val="left"/>
        <w:rPr>
          <w:rFonts w:hint="eastAsia" w:ascii="黑体" w:hAnsi="黑体" w:eastAsia="黑体" w:cs="黑体"/>
          <w:bCs w:val="0"/>
          <w:sz w:val="32"/>
          <w:szCs w:val="32"/>
        </w:rPr>
      </w:pPr>
      <w:r>
        <w:rPr>
          <w:rFonts w:hint="eastAsia" w:ascii="黑体" w:hAnsi="黑体" w:eastAsia="黑体" w:cs="黑体"/>
          <w:bCs w:val="0"/>
          <w:sz w:val="32"/>
          <w:szCs w:val="32"/>
        </w:rPr>
        <w:t>附</w:t>
      </w:r>
      <w:r>
        <w:rPr>
          <w:rFonts w:hint="eastAsia" w:ascii="黑体" w:hAnsi="黑体" w:eastAsia="黑体" w:cs="黑体"/>
          <w:bCs w:val="0"/>
          <w:sz w:val="32"/>
          <w:szCs w:val="32"/>
          <w:lang w:val="en-US" w:eastAsia="zh-CN"/>
        </w:rPr>
        <w:t>件</w:t>
      </w:r>
      <w:r>
        <w:rPr>
          <w:rFonts w:hint="eastAsia" w:ascii="黑体" w:hAnsi="黑体" w:eastAsia="黑体" w:cs="黑体"/>
          <w:bCs w:val="0"/>
          <w:sz w:val="32"/>
          <w:szCs w:val="32"/>
        </w:rPr>
        <w:t>4</w:t>
      </w:r>
    </w:p>
    <w:p w14:paraId="2AB61B2A">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黑体" w:eastAsia="方正小标宋简体" w:cs="方正小标宋简体"/>
          <w:bCs/>
          <w:sz w:val="44"/>
          <w:szCs w:val="44"/>
        </w:rPr>
      </w:pPr>
      <w:r>
        <w:rPr>
          <w:rFonts w:hint="eastAsia" w:ascii="方正小标宋简体" w:hAnsi="黑体" w:eastAsia="方正小标宋简体" w:cs="方正小标宋简体"/>
          <w:bCs/>
          <w:sz w:val="44"/>
          <w:szCs w:val="44"/>
        </w:rPr>
        <w:t>江西师范大学校内分散采购项目供应商报价表</w:t>
      </w:r>
    </w:p>
    <w:p w14:paraId="38D8866B">
      <w:pPr>
        <w:spacing w:line="240" w:lineRule="exact"/>
        <w:jc w:val="center"/>
        <w:rPr>
          <w:rFonts w:ascii="Calibri" w:hAnsi="Calibri" w:eastAsia="黑体" w:cs="Times New Roman"/>
          <w:bCs/>
          <w:sz w:val="28"/>
          <w:szCs w:val="28"/>
        </w:rPr>
      </w:pPr>
    </w:p>
    <w:tbl>
      <w:tblPr>
        <w:tblStyle w:val="5"/>
        <w:tblW w:w="14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805"/>
        <w:gridCol w:w="1773"/>
        <w:gridCol w:w="1860"/>
        <w:gridCol w:w="2107"/>
        <w:gridCol w:w="2259"/>
        <w:gridCol w:w="3107"/>
      </w:tblGrid>
      <w:tr w14:paraId="1487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66F23300">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项目名称</w:t>
            </w:r>
          </w:p>
        </w:tc>
        <w:tc>
          <w:tcPr>
            <w:tcW w:w="5438" w:type="dxa"/>
            <w:gridSpan w:val="3"/>
            <w:noWrap w:val="0"/>
            <w:vAlign w:val="center"/>
          </w:tcPr>
          <w:p w14:paraId="291F71C5">
            <w:pPr>
              <w:adjustRightInd w:val="0"/>
              <w:snapToGrid w:val="0"/>
              <w:spacing w:line="240" w:lineRule="auto"/>
              <w:jc w:val="center"/>
              <w:rPr>
                <w:rFonts w:hint="eastAsia" w:ascii="仿宋_GB2312" w:hAnsi="仿宋_GB2312" w:eastAsia="仿宋_GB2312" w:cs="仿宋_GB2312"/>
                <w:b w:val="0"/>
                <w:bCs/>
                <w:sz w:val="28"/>
                <w:szCs w:val="28"/>
              </w:rPr>
            </w:pPr>
          </w:p>
        </w:tc>
        <w:tc>
          <w:tcPr>
            <w:tcW w:w="2107" w:type="dxa"/>
            <w:noWrap w:val="0"/>
            <w:vAlign w:val="center"/>
          </w:tcPr>
          <w:p w14:paraId="31F0C821">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投标报价</w:t>
            </w:r>
          </w:p>
        </w:tc>
        <w:tc>
          <w:tcPr>
            <w:tcW w:w="5366" w:type="dxa"/>
            <w:gridSpan w:val="2"/>
            <w:noWrap w:val="0"/>
            <w:vAlign w:val="center"/>
          </w:tcPr>
          <w:p w14:paraId="283FDC03">
            <w:pPr>
              <w:adjustRightInd w:val="0"/>
              <w:snapToGrid w:val="0"/>
              <w:spacing w:line="240" w:lineRule="auto"/>
              <w:jc w:val="center"/>
              <w:rPr>
                <w:rFonts w:hint="eastAsia" w:ascii="仿宋_GB2312" w:hAnsi="仿宋_GB2312" w:eastAsia="仿宋_GB2312" w:cs="仿宋_GB2312"/>
                <w:b w:val="0"/>
                <w:bCs/>
                <w:sz w:val="28"/>
                <w:szCs w:val="28"/>
              </w:rPr>
            </w:pPr>
          </w:p>
        </w:tc>
      </w:tr>
      <w:tr w14:paraId="660E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7706791E">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投标单位</w:t>
            </w:r>
          </w:p>
        </w:tc>
        <w:tc>
          <w:tcPr>
            <w:tcW w:w="3578" w:type="dxa"/>
            <w:gridSpan w:val="2"/>
            <w:noWrap w:val="0"/>
            <w:vAlign w:val="center"/>
          </w:tcPr>
          <w:p w14:paraId="3E248F3B">
            <w:pPr>
              <w:adjustRightInd w:val="0"/>
              <w:snapToGrid w:val="0"/>
              <w:spacing w:line="240" w:lineRule="auto"/>
              <w:jc w:val="righ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（盖章）</w:t>
            </w:r>
          </w:p>
        </w:tc>
        <w:tc>
          <w:tcPr>
            <w:tcW w:w="1860" w:type="dxa"/>
            <w:noWrap w:val="0"/>
            <w:vAlign w:val="center"/>
          </w:tcPr>
          <w:p w14:paraId="433F0749">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联系人</w:t>
            </w:r>
          </w:p>
        </w:tc>
        <w:tc>
          <w:tcPr>
            <w:tcW w:w="2107" w:type="dxa"/>
            <w:noWrap w:val="0"/>
            <w:vAlign w:val="center"/>
          </w:tcPr>
          <w:p w14:paraId="45A24DC0">
            <w:pPr>
              <w:adjustRightInd w:val="0"/>
              <w:snapToGrid w:val="0"/>
              <w:spacing w:line="240" w:lineRule="auto"/>
              <w:jc w:val="center"/>
              <w:rPr>
                <w:rFonts w:hint="eastAsia" w:ascii="仿宋_GB2312" w:hAnsi="仿宋_GB2312" w:eastAsia="仿宋_GB2312" w:cs="仿宋_GB2312"/>
                <w:b w:val="0"/>
                <w:bCs/>
                <w:sz w:val="28"/>
                <w:szCs w:val="28"/>
              </w:rPr>
            </w:pPr>
          </w:p>
        </w:tc>
        <w:tc>
          <w:tcPr>
            <w:tcW w:w="2259" w:type="dxa"/>
            <w:noWrap w:val="0"/>
            <w:vAlign w:val="center"/>
          </w:tcPr>
          <w:p w14:paraId="5F5D23F1">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联系方式</w:t>
            </w:r>
          </w:p>
        </w:tc>
        <w:tc>
          <w:tcPr>
            <w:tcW w:w="3107" w:type="dxa"/>
            <w:noWrap w:val="0"/>
            <w:vAlign w:val="center"/>
          </w:tcPr>
          <w:p w14:paraId="4514581C">
            <w:pPr>
              <w:adjustRightInd w:val="0"/>
              <w:snapToGrid w:val="0"/>
              <w:spacing w:line="240" w:lineRule="auto"/>
              <w:jc w:val="center"/>
              <w:rPr>
                <w:rFonts w:hint="eastAsia" w:ascii="仿宋_GB2312" w:hAnsi="仿宋_GB2312" w:eastAsia="仿宋_GB2312" w:cs="仿宋_GB2312"/>
                <w:b w:val="0"/>
                <w:bCs/>
                <w:sz w:val="28"/>
                <w:szCs w:val="28"/>
              </w:rPr>
            </w:pPr>
          </w:p>
        </w:tc>
      </w:tr>
      <w:tr w14:paraId="22EB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6523A6E5">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投标明细</w:t>
            </w:r>
          </w:p>
        </w:tc>
        <w:tc>
          <w:tcPr>
            <w:tcW w:w="1805" w:type="dxa"/>
            <w:noWrap w:val="0"/>
            <w:vAlign w:val="center"/>
          </w:tcPr>
          <w:p w14:paraId="2B11AC21">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响应需求</w:t>
            </w:r>
          </w:p>
        </w:tc>
        <w:tc>
          <w:tcPr>
            <w:tcW w:w="1773" w:type="dxa"/>
            <w:noWrap w:val="0"/>
            <w:vAlign w:val="center"/>
          </w:tcPr>
          <w:p w14:paraId="2CB266E9">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品牌/型号</w:t>
            </w:r>
          </w:p>
        </w:tc>
        <w:tc>
          <w:tcPr>
            <w:tcW w:w="1860" w:type="dxa"/>
            <w:noWrap w:val="0"/>
            <w:vAlign w:val="center"/>
          </w:tcPr>
          <w:p w14:paraId="0CB172AE">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单价</w:t>
            </w:r>
          </w:p>
        </w:tc>
        <w:tc>
          <w:tcPr>
            <w:tcW w:w="2107" w:type="dxa"/>
            <w:noWrap w:val="0"/>
            <w:vAlign w:val="center"/>
          </w:tcPr>
          <w:p w14:paraId="5614D828">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数量</w:t>
            </w:r>
          </w:p>
        </w:tc>
        <w:tc>
          <w:tcPr>
            <w:tcW w:w="2259" w:type="dxa"/>
            <w:noWrap w:val="0"/>
            <w:vAlign w:val="center"/>
          </w:tcPr>
          <w:p w14:paraId="0E56870E">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总价</w:t>
            </w:r>
          </w:p>
        </w:tc>
        <w:tc>
          <w:tcPr>
            <w:tcW w:w="3107" w:type="dxa"/>
            <w:noWrap w:val="0"/>
            <w:vAlign w:val="center"/>
          </w:tcPr>
          <w:p w14:paraId="2DC468C0">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供应商资格条件</w:t>
            </w:r>
          </w:p>
        </w:tc>
      </w:tr>
      <w:tr w14:paraId="47B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64C759B6">
            <w:pPr>
              <w:adjustRightInd w:val="0"/>
              <w:snapToGrid w:val="0"/>
              <w:spacing w:line="240" w:lineRule="auto"/>
              <w:jc w:val="center"/>
              <w:rPr>
                <w:rFonts w:hint="eastAsia" w:ascii="仿宋_GB2312" w:hAnsi="仿宋_GB2312" w:eastAsia="仿宋_GB2312" w:cs="仿宋_GB2312"/>
                <w:b w:val="0"/>
                <w:bCs/>
                <w:sz w:val="28"/>
                <w:szCs w:val="28"/>
              </w:rPr>
            </w:pPr>
          </w:p>
        </w:tc>
        <w:tc>
          <w:tcPr>
            <w:tcW w:w="1805" w:type="dxa"/>
            <w:noWrap w:val="0"/>
            <w:vAlign w:val="center"/>
          </w:tcPr>
          <w:p w14:paraId="4970435F">
            <w:pPr>
              <w:adjustRightInd w:val="0"/>
              <w:snapToGrid w:val="0"/>
              <w:spacing w:line="240" w:lineRule="auto"/>
              <w:jc w:val="center"/>
              <w:rPr>
                <w:rFonts w:hint="eastAsia" w:ascii="仿宋_GB2312" w:hAnsi="仿宋_GB2312" w:eastAsia="仿宋_GB2312" w:cs="仿宋_GB2312"/>
                <w:b w:val="0"/>
                <w:bCs/>
                <w:sz w:val="28"/>
                <w:szCs w:val="28"/>
              </w:rPr>
            </w:pPr>
          </w:p>
        </w:tc>
        <w:tc>
          <w:tcPr>
            <w:tcW w:w="1773" w:type="dxa"/>
            <w:noWrap w:val="0"/>
            <w:vAlign w:val="center"/>
          </w:tcPr>
          <w:p w14:paraId="1A2B516E">
            <w:pPr>
              <w:adjustRightInd w:val="0"/>
              <w:snapToGrid w:val="0"/>
              <w:spacing w:line="240" w:lineRule="auto"/>
              <w:jc w:val="center"/>
              <w:rPr>
                <w:rFonts w:hint="eastAsia" w:ascii="仿宋_GB2312" w:hAnsi="仿宋_GB2312" w:eastAsia="仿宋_GB2312" w:cs="仿宋_GB2312"/>
                <w:b w:val="0"/>
                <w:bCs/>
                <w:sz w:val="28"/>
                <w:szCs w:val="28"/>
              </w:rPr>
            </w:pPr>
          </w:p>
        </w:tc>
        <w:tc>
          <w:tcPr>
            <w:tcW w:w="1860" w:type="dxa"/>
            <w:noWrap w:val="0"/>
            <w:vAlign w:val="center"/>
          </w:tcPr>
          <w:p w14:paraId="6AE4AC70">
            <w:pPr>
              <w:adjustRightInd w:val="0"/>
              <w:snapToGrid w:val="0"/>
              <w:spacing w:line="240" w:lineRule="auto"/>
              <w:jc w:val="center"/>
              <w:rPr>
                <w:rFonts w:hint="eastAsia" w:ascii="仿宋_GB2312" w:hAnsi="仿宋_GB2312" w:eastAsia="仿宋_GB2312" w:cs="仿宋_GB2312"/>
                <w:b w:val="0"/>
                <w:bCs/>
                <w:sz w:val="28"/>
                <w:szCs w:val="28"/>
              </w:rPr>
            </w:pPr>
          </w:p>
        </w:tc>
        <w:tc>
          <w:tcPr>
            <w:tcW w:w="2107" w:type="dxa"/>
            <w:noWrap w:val="0"/>
            <w:vAlign w:val="center"/>
          </w:tcPr>
          <w:p w14:paraId="11AB5963">
            <w:pPr>
              <w:adjustRightInd w:val="0"/>
              <w:snapToGrid w:val="0"/>
              <w:spacing w:line="240" w:lineRule="auto"/>
              <w:jc w:val="center"/>
              <w:rPr>
                <w:rFonts w:hint="eastAsia" w:ascii="仿宋_GB2312" w:hAnsi="仿宋_GB2312" w:eastAsia="仿宋_GB2312" w:cs="仿宋_GB2312"/>
                <w:b w:val="0"/>
                <w:bCs/>
                <w:sz w:val="28"/>
                <w:szCs w:val="28"/>
              </w:rPr>
            </w:pPr>
          </w:p>
        </w:tc>
        <w:tc>
          <w:tcPr>
            <w:tcW w:w="2259" w:type="dxa"/>
            <w:noWrap w:val="0"/>
            <w:vAlign w:val="center"/>
          </w:tcPr>
          <w:p w14:paraId="38907503">
            <w:pPr>
              <w:adjustRightInd w:val="0"/>
              <w:snapToGrid w:val="0"/>
              <w:spacing w:line="240" w:lineRule="auto"/>
              <w:jc w:val="center"/>
              <w:rPr>
                <w:rFonts w:hint="eastAsia" w:ascii="仿宋_GB2312" w:hAnsi="仿宋_GB2312" w:eastAsia="仿宋_GB2312" w:cs="仿宋_GB2312"/>
                <w:b w:val="0"/>
                <w:bCs/>
                <w:sz w:val="28"/>
                <w:szCs w:val="28"/>
              </w:rPr>
            </w:pPr>
          </w:p>
        </w:tc>
        <w:tc>
          <w:tcPr>
            <w:tcW w:w="3107" w:type="dxa"/>
            <w:vMerge w:val="restart"/>
            <w:noWrap w:val="0"/>
            <w:vAlign w:val="center"/>
          </w:tcPr>
          <w:p w14:paraId="539D0117">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按采购公示表</w:t>
            </w:r>
          </w:p>
          <w:p w14:paraId="4562EC09">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附页</w:t>
            </w:r>
          </w:p>
        </w:tc>
      </w:tr>
      <w:tr w14:paraId="1755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5274EC96">
            <w:pPr>
              <w:adjustRightInd w:val="0"/>
              <w:snapToGrid w:val="0"/>
              <w:spacing w:line="240" w:lineRule="auto"/>
              <w:jc w:val="center"/>
              <w:rPr>
                <w:rFonts w:hint="eastAsia" w:ascii="仿宋_GB2312" w:hAnsi="仿宋_GB2312" w:eastAsia="仿宋_GB2312" w:cs="仿宋_GB2312"/>
                <w:b w:val="0"/>
                <w:bCs/>
                <w:sz w:val="28"/>
                <w:szCs w:val="28"/>
              </w:rPr>
            </w:pPr>
          </w:p>
        </w:tc>
        <w:tc>
          <w:tcPr>
            <w:tcW w:w="1805" w:type="dxa"/>
            <w:noWrap w:val="0"/>
            <w:vAlign w:val="center"/>
          </w:tcPr>
          <w:p w14:paraId="27EF73B0">
            <w:pPr>
              <w:adjustRightInd w:val="0"/>
              <w:snapToGrid w:val="0"/>
              <w:spacing w:line="240" w:lineRule="auto"/>
              <w:jc w:val="center"/>
              <w:rPr>
                <w:rFonts w:hint="eastAsia" w:ascii="仿宋_GB2312" w:hAnsi="仿宋_GB2312" w:eastAsia="仿宋_GB2312" w:cs="仿宋_GB2312"/>
                <w:b w:val="0"/>
                <w:bCs/>
                <w:sz w:val="28"/>
                <w:szCs w:val="28"/>
              </w:rPr>
            </w:pPr>
          </w:p>
        </w:tc>
        <w:tc>
          <w:tcPr>
            <w:tcW w:w="1773" w:type="dxa"/>
            <w:noWrap w:val="0"/>
            <w:vAlign w:val="center"/>
          </w:tcPr>
          <w:p w14:paraId="5957C9D5">
            <w:pPr>
              <w:adjustRightInd w:val="0"/>
              <w:snapToGrid w:val="0"/>
              <w:spacing w:line="240" w:lineRule="auto"/>
              <w:jc w:val="center"/>
              <w:rPr>
                <w:rFonts w:hint="eastAsia" w:ascii="仿宋_GB2312" w:hAnsi="仿宋_GB2312" w:eastAsia="仿宋_GB2312" w:cs="仿宋_GB2312"/>
                <w:b w:val="0"/>
                <w:bCs/>
                <w:sz w:val="28"/>
                <w:szCs w:val="28"/>
              </w:rPr>
            </w:pPr>
          </w:p>
        </w:tc>
        <w:tc>
          <w:tcPr>
            <w:tcW w:w="1860" w:type="dxa"/>
            <w:noWrap w:val="0"/>
            <w:vAlign w:val="center"/>
          </w:tcPr>
          <w:p w14:paraId="5D0BD7E7">
            <w:pPr>
              <w:adjustRightInd w:val="0"/>
              <w:snapToGrid w:val="0"/>
              <w:spacing w:line="240" w:lineRule="auto"/>
              <w:jc w:val="center"/>
              <w:rPr>
                <w:rFonts w:hint="eastAsia" w:ascii="仿宋_GB2312" w:hAnsi="仿宋_GB2312" w:eastAsia="仿宋_GB2312" w:cs="仿宋_GB2312"/>
                <w:b w:val="0"/>
                <w:bCs/>
                <w:sz w:val="28"/>
                <w:szCs w:val="28"/>
              </w:rPr>
            </w:pPr>
          </w:p>
        </w:tc>
        <w:tc>
          <w:tcPr>
            <w:tcW w:w="2107" w:type="dxa"/>
            <w:noWrap w:val="0"/>
            <w:vAlign w:val="center"/>
          </w:tcPr>
          <w:p w14:paraId="0874D20A">
            <w:pPr>
              <w:adjustRightInd w:val="0"/>
              <w:snapToGrid w:val="0"/>
              <w:spacing w:line="240" w:lineRule="auto"/>
              <w:jc w:val="center"/>
              <w:rPr>
                <w:rFonts w:hint="eastAsia" w:ascii="仿宋_GB2312" w:hAnsi="仿宋_GB2312" w:eastAsia="仿宋_GB2312" w:cs="仿宋_GB2312"/>
                <w:b w:val="0"/>
                <w:bCs/>
                <w:sz w:val="28"/>
                <w:szCs w:val="28"/>
              </w:rPr>
            </w:pPr>
          </w:p>
        </w:tc>
        <w:tc>
          <w:tcPr>
            <w:tcW w:w="2259" w:type="dxa"/>
            <w:noWrap w:val="0"/>
            <w:vAlign w:val="center"/>
          </w:tcPr>
          <w:p w14:paraId="389BE9A8">
            <w:pPr>
              <w:adjustRightInd w:val="0"/>
              <w:snapToGrid w:val="0"/>
              <w:spacing w:line="240" w:lineRule="auto"/>
              <w:jc w:val="center"/>
              <w:rPr>
                <w:rFonts w:hint="eastAsia" w:ascii="仿宋_GB2312" w:hAnsi="仿宋_GB2312" w:eastAsia="仿宋_GB2312" w:cs="仿宋_GB2312"/>
                <w:b w:val="0"/>
                <w:bCs/>
                <w:sz w:val="28"/>
                <w:szCs w:val="28"/>
              </w:rPr>
            </w:pPr>
          </w:p>
        </w:tc>
        <w:tc>
          <w:tcPr>
            <w:tcW w:w="3107" w:type="dxa"/>
            <w:vMerge w:val="continue"/>
            <w:noWrap w:val="0"/>
            <w:vAlign w:val="center"/>
          </w:tcPr>
          <w:p w14:paraId="49CFFA3D">
            <w:pPr>
              <w:adjustRightInd w:val="0"/>
              <w:snapToGrid w:val="0"/>
              <w:spacing w:line="240" w:lineRule="auto"/>
              <w:jc w:val="center"/>
              <w:rPr>
                <w:rFonts w:hint="eastAsia" w:ascii="仿宋_GB2312" w:hAnsi="仿宋_GB2312" w:eastAsia="仿宋_GB2312" w:cs="仿宋_GB2312"/>
                <w:b w:val="0"/>
                <w:bCs/>
                <w:sz w:val="28"/>
                <w:szCs w:val="28"/>
              </w:rPr>
            </w:pPr>
          </w:p>
        </w:tc>
      </w:tr>
      <w:tr w14:paraId="0A14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67" w:type="dxa"/>
            <w:noWrap w:val="0"/>
            <w:vAlign w:val="center"/>
          </w:tcPr>
          <w:p w14:paraId="766F0B70">
            <w:pPr>
              <w:adjustRightInd w:val="0"/>
              <w:snapToGrid w:val="0"/>
              <w:spacing w:line="240" w:lineRule="auto"/>
              <w:jc w:val="center"/>
              <w:rPr>
                <w:rFonts w:hint="eastAsia" w:ascii="仿宋_GB2312" w:hAnsi="仿宋_GB2312" w:eastAsia="仿宋_GB2312" w:cs="仿宋_GB2312"/>
                <w:b w:val="0"/>
                <w:bCs/>
                <w:sz w:val="28"/>
                <w:szCs w:val="28"/>
              </w:rPr>
            </w:pPr>
          </w:p>
        </w:tc>
        <w:tc>
          <w:tcPr>
            <w:tcW w:w="1805" w:type="dxa"/>
            <w:noWrap w:val="0"/>
            <w:vAlign w:val="center"/>
          </w:tcPr>
          <w:p w14:paraId="65EF7A2B">
            <w:pPr>
              <w:adjustRightInd w:val="0"/>
              <w:snapToGrid w:val="0"/>
              <w:spacing w:line="240" w:lineRule="auto"/>
              <w:jc w:val="center"/>
              <w:rPr>
                <w:rFonts w:hint="eastAsia" w:ascii="仿宋_GB2312" w:hAnsi="仿宋_GB2312" w:eastAsia="仿宋_GB2312" w:cs="仿宋_GB2312"/>
                <w:b w:val="0"/>
                <w:bCs/>
                <w:sz w:val="28"/>
                <w:szCs w:val="28"/>
              </w:rPr>
            </w:pPr>
          </w:p>
        </w:tc>
        <w:tc>
          <w:tcPr>
            <w:tcW w:w="1773" w:type="dxa"/>
            <w:noWrap w:val="0"/>
            <w:vAlign w:val="center"/>
          </w:tcPr>
          <w:p w14:paraId="31A59985">
            <w:pPr>
              <w:adjustRightInd w:val="0"/>
              <w:snapToGrid w:val="0"/>
              <w:spacing w:line="240" w:lineRule="auto"/>
              <w:jc w:val="center"/>
              <w:rPr>
                <w:rFonts w:hint="eastAsia" w:ascii="仿宋_GB2312" w:hAnsi="仿宋_GB2312" w:eastAsia="仿宋_GB2312" w:cs="仿宋_GB2312"/>
                <w:b w:val="0"/>
                <w:bCs/>
                <w:sz w:val="28"/>
                <w:szCs w:val="28"/>
              </w:rPr>
            </w:pPr>
          </w:p>
        </w:tc>
        <w:tc>
          <w:tcPr>
            <w:tcW w:w="1860" w:type="dxa"/>
            <w:noWrap w:val="0"/>
            <w:vAlign w:val="center"/>
          </w:tcPr>
          <w:p w14:paraId="1CCD8F5D">
            <w:pPr>
              <w:adjustRightInd w:val="0"/>
              <w:snapToGrid w:val="0"/>
              <w:spacing w:line="240" w:lineRule="auto"/>
              <w:jc w:val="center"/>
              <w:rPr>
                <w:rFonts w:hint="eastAsia" w:ascii="仿宋_GB2312" w:hAnsi="仿宋_GB2312" w:eastAsia="仿宋_GB2312" w:cs="仿宋_GB2312"/>
                <w:b w:val="0"/>
                <w:bCs/>
                <w:sz w:val="28"/>
                <w:szCs w:val="28"/>
              </w:rPr>
            </w:pPr>
          </w:p>
        </w:tc>
        <w:tc>
          <w:tcPr>
            <w:tcW w:w="2107" w:type="dxa"/>
            <w:noWrap w:val="0"/>
            <w:vAlign w:val="center"/>
          </w:tcPr>
          <w:p w14:paraId="72EFD41A">
            <w:pPr>
              <w:adjustRightInd w:val="0"/>
              <w:snapToGrid w:val="0"/>
              <w:spacing w:line="240" w:lineRule="auto"/>
              <w:jc w:val="center"/>
              <w:rPr>
                <w:rFonts w:hint="eastAsia" w:ascii="仿宋_GB2312" w:hAnsi="仿宋_GB2312" w:eastAsia="仿宋_GB2312" w:cs="仿宋_GB2312"/>
                <w:b w:val="0"/>
                <w:bCs/>
                <w:sz w:val="28"/>
                <w:szCs w:val="28"/>
              </w:rPr>
            </w:pPr>
          </w:p>
        </w:tc>
        <w:tc>
          <w:tcPr>
            <w:tcW w:w="2259" w:type="dxa"/>
            <w:noWrap w:val="0"/>
            <w:vAlign w:val="center"/>
          </w:tcPr>
          <w:p w14:paraId="77E9DD7B">
            <w:pPr>
              <w:adjustRightInd w:val="0"/>
              <w:snapToGrid w:val="0"/>
              <w:spacing w:line="240" w:lineRule="auto"/>
              <w:jc w:val="center"/>
              <w:rPr>
                <w:rFonts w:hint="eastAsia" w:ascii="仿宋_GB2312" w:hAnsi="仿宋_GB2312" w:eastAsia="仿宋_GB2312" w:cs="仿宋_GB2312"/>
                <w:b w:val="0"/>
                <w:bCs/>
                <w:sz w:val="28"/>
                <w:szCs w:val="28"/>
              </w:rPr>
            </w:pPr>
          </w:p>
        </w:tc>
        <w:tc>
          <w:tcPr>
            <w:tcW w:w="3107" w:type="dxa"/>
            <w:vMerge w:val="continue"/>
            <w:noWrap w:val="0"/>
            <w:vAlign w:val="center"/>
          </w:tcPr>
          <w:p w14:paraId="4F5060C4">
            <w:pPr>
              <w:adjustRightInd w:val="0"/>
              <w:snapToGrid w:val="0"/>
              <w:spacing w:line="240" w:lineRule="auto"/>
              <w:jc w:val="center"/>
              <w:rPr>
                <w:rFonts w:hint="eastAsia" w:ascii="仿宋_GB2312" w:hAnsi="仿宋_GB2312" w:eastAsia="仿宋_GB2312" w:cs="仿宋_GB2312"/>
                <w:b w:val="0"/>
                <w:bCs/>
                <w:sz w:val="28"/>
                <w:szCs w:val="28"/>
              </w:rPr>
            </w:pPr>
          </w:p>
        </w:tc>
      </w:tr>
      <w:tr w14:paraId="0201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578" w:type="dxa"/>
            <w:gridSpan w:val="7"/>
            <w:noWrap w:val="0"/>
            <w:vAlign w:val="center"/>
          </w:tcPr>
          <w:p w14:paraId="4A8EC48A">
            <w:pPr>
              <w:adjustRightInd w:val="0"/>
              <w:snapToGrid w:val="0"/>
              <w:spacing w:line="240" w:lineRule="auto"/>
              <w:jc w:val="cente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                                         合计总价：</w:t>
            </w:r>
          </w:p>
        </w:tc>
      </w:tr>
    </w:tbl>
    <w:p w14:paraId="4E534E4C">
      <w:pPr>
        <w:widowControl/>
        <w:adjustRightInd w:val="0"/>
        <w:snapToGrid w:val="0"/>
        <w:spacing w:line="500" w:lineRule="exact"/>
        <w:jc w:val="left"/>
        <w:outlineLvl w:val="9"/>
        <w:rPr>
          <w:rFonts w:hint="eastAsia" w:ascii="仿宋_GB2312" w:hAnsi="仿宋_GB2312" w:eastAsia="仿宋_GB2312" w:cs="仿宋_GB2312"/>
          <w:bCs/>
          <w:sz w:val="28"/>
          <w:szCs w:val="28"/>
        </w:rPr>
      </w:pPr>
      <w:r>
        <w:rPr>
          <w:rFonts w:hint="eastAsia" w:ascii="仿宋_GB2312" w:hAnsi="仿宋_GB2312" w:eastAsia="仿宋_GB2312" w:cs="仿宋_GB2312"/>
          <w:b w:val="0"/>
          <w:bCs/>
          <w:sz w:val="28"/>
          <w:szCs w:val="28"/>
        </w:rPr>
        <w:t>说明：</w:t>
      </w:r>
      <w:r>
        <w:rPr>
          <w:rFonts w:hint="eastAsia" w:ascii="仿宋_GB2312" w:hAnsi="仿宋_GB2312" w:eastAsia="仿宋_GB2312" w:cs="仿宋_GB2312"/>
          <w:bCs/>
          <w:sz w:val="28"/>
          <w:szCs w:val="28"/>
        </w:rPr>
        <w:t>1.投标报价不得高于采购公告合计总价。</w:t>
      </w:r>
    </w:p>
    <w:p w14:paraId="44EEE5C3">
      <w:pPr>
        <w:widowControl/>
        <w:adjustRightInd w:val="0"/>
        <w:snapToGrid w:val="0"/>
        <w:spacing w:line="500" w:lineRule="exact"/>
        <w:ind w:firstLine="840" w:firstLineChars="300"/>
        <w:jc w:val="left"/>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2.投标人应将投标材料装订成册并密封，项目开启时由采购人拆封。</w:t>
      </w:r>
    </w:p>
    <w:p w14:paraId="079A795B">
      <w:pPr>
        <w:widowControl/>
        <w:adjustRightInd w:val="0"/>
        <w:snapToGrid w:val="0"/>
        <w:spacing w:line="500" w:lineRule="exact"/>
        <w:ind w:firstLine="840" w:firstLineChars="300"/>
        <w:jc w:val="left"/>
        <w:outlineLvl w:val="9"/>
        <w:rPr>
          <w:sz w:val="28"/>
          <w:szCs w:val="28"/>
        </w:rPr>
        <w:sectPr>
          <w:pgSz w:w="16838" w:h="11906" w:orient="landscape"/>
          <w:pgMar w:top="2098" w:right="1474" w:bottom="1984" w:left="1474" w:header="850" w:footer="1247" w:gutter="0"/>
          <w:pgNumType w:fmt="decimal"/>
          <w:cols w:space="720" w:num="1"/>
          <w:rtlGutter w:val="0"/>
          <w:docGrid w:type="lines" w:linePitch="460" w:charSpace="0"/>
        </w:sectPr>
      </w:pPr>
      <w:r>
        <w:rPr>
          <w:rFonts w:hint="eastAsia" w:ascii="仿宋_GB2312" w:hAnsi="仿宋_GB2312" w:eastAsia="仿宋_GB2312" w:cs="仿宋_GB2312"/>
          <w:bCs/>
          <w:sz w:val="28"/>
          <w:szCs w:val="28"/>
        </w:rPr>
        <w:t>3.如所填内容较多，请按照本表格式自行添加；本表页数超过两页，请加盖骑缝章。</w:t>
      </w:r>
    </w:p>
    <w:p w14:paraId="12BDB0CF">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繁体">
    <w:altName w:val="仿宋"/>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1029F"/>
    <w:rsid w:val="0E21029F"/>
    <w:rsid w:val="25252219"/>
    <w:rsid w:val="30970470"/>
    <w:rsid w:val="693A1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繁体"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line="0" w:lineRule="atLeast"/>
    </w:pPr>
    <w:rPr>
      <w:rFonts w:eastAsia="小标宋"/>
      <w:sz w:val="4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bottom w:val="single" w:color="auto" w:sz="6" w:space="1"/>
      </w:pBdr>
      <w:tabs>
        <w:tab w:val="center" w:pos="4153"/>
        <w:tab w:val="right" w:pos="8306"/>
      </w:tabs>
      <w:snapToGrid w:val="0"/>
      <w:jc w:val="center"/>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1410</Words>
  <Characters>1683</Characters>
  <Lines>0</Lines>
  <Paragraphs>0</Paragraphs>
  <TotalTime>2</TotalTime>
  <ScaleCrop>false</ScaleCrop>
  <LinksUpToDate>false</LinksUpToDate>
  <CharactersWithSpaces>1721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2026-07-27T08:00:00Z</dcterms:created>
  <dc:creator>Fisher</dc:creator>
  <cp:lastModifiedBy>Fisher</cp:lastModifiedBy>
  <dcterms:modified xsi:type="dcterms:W3CDTF">2026-07-27T08:22:43Z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5E2358369AC34EE0831E9FC87F84A4EB_13</vt:lpwstr>
  </property>
  <property fmtid="{D5CDD505-2E9C-101B-9397-08002B2CF9AE}" pid="4" name="KSOTemplateDocerSaveRecord">
    <vt:lpwstr>eyJoZGlkIjoiOWQzYmY5ZjM4NTBhODgzMjY2OWRkYTA1YWY0MmEwN2QiLCJ1c2VySWQiOiIzOTYyMDEyNTkifQ==</vt:lpwstr>
  </property>
</Properties>
</file>