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250" w:rsidRPr="00694DE0" w:rsidRDefault="003A1250" w:rsidP="003A1250">
      <w:pPr>
        <w:widowControl/>
        <w:shd w:val="clear" w:color="auto" w:fill="FFFFFF"/>
        <w:spacing w:before="225"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关于2</w:t>
      </w:r>
      <w:r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  <w:t>026</w:t>
      </w: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年政府采购计划的填报说明</w:t>
      </w:r>
    </w:p>
    <w:p w:rsidR="003A1250" w:rsidRPr="00694DE0" w:rsidRDefault="003A1250" w:rsidP="003A1250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</w:p>
    <w:p w:rsidR="003A1250" w:rsidRPr="00694DE0" w:rsidRDefault="003A1250" w:rsidP="003A1250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694DE0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为更好地帮助各单位做好202</w:t>
      </w:r>
      <w:r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6</w:t>
      </w:r>
      <w:r w:rsidRPr="00694DE0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年政府采购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计划</w:t>
      </w:r>
      <w:r w:rsidRPr="00694DE0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的编制填报，依据202</w:t>
      </w:r>
      <w:r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6</w:t>
      </w:r>
      <w:r w:rsidRPr="00694DE0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年采购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计划</w:t>
      </w:r>
      <w:r w:rsidRPr="00694DE0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编制内容要点，制作了填写说明，请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各</w:t>
      </w:r>
      <w:r w:rsidRPr="00694DE0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单位做好政府采购预算编制工作。 </w:t>
      </w:r>
    </w:p>
    <w:p w:rsidR="003A1250" w:rsidRDefault="003A1250" w:rsidP="003A1250">
      <w:pPr>
        <w:spacing w:line="500" w:lineRule="exact"/>
        <w:rPr>
          <w:sz w:val="28"/>
          <w:szCs w:val="28"/>
        </w:rPr>
      </w:pPr>
    </w:p>
    <w:p w:rsidR="003A1250" w:rsidRDefault="003A1250" w:rsidP="003A1250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一</w:t>
      </w:r>
      <w:r w:rsidRPr="00A765C5">
        <w:rPr>
          <w:rFonts w:ascii="宋体" w:eastAsia="宋体" w:hAnsi="宋体" w:hint="eastAsia"/>
          <w:color w:val="000000"/>
          <w:sz w:val="28"/>
          <w:szCs w:val="28"/>
        </w:rPr>
        <w:t>、安排专人负责</w:t>
      </w:r>
      <w:r>
        <w:rPr>
          <w:rFonts w:ascii="宋体" w:eastAsia="宋体" w:hAnsi="宋体" w:hint="eastAsia"/>
          <w:color w:val="000000"/>
          <w:sz w:val="28"/>
          <w:szCs w:val="28"/>
        </w:rPr>
        <w:t>：</w:t>
      </w:r>
      <w:r w:rsidRPr="00A765C5">
        <w:rPr>
          <w:rFonts w:ascii="宋体" w:eastAsia="宋体" w:hAnsi="宋体"/>
          <w:color w:val="000000"/>
          <w:sz w:val="28"/>
          <w:szCs w:val="28"/>
        </w:rPr>
        <w:t>因</w:t>
      </w:r>
      <w:r w:rsidRPr="00A765C5">
        <w:rPr>
          <w:rFonts w:ascii="宋体" w:eastAsia="宋体" w:hAnsi="宋体" w:hint="eastAsia"/>
          <w:color w:val="000000"/>
          <w:sz w:val="28"/>
          <w:szCs w:val="28"/>
        </w:rPr>
        <w:t>省</w:t>
      </w:r>
      <w:r w:rsidRPr="00A765C5">
        <w:rPr>
          <w:rFonts w:ascii="宋体" w:eastAsia="宋体" w:hAnsi="宋体"/>
          <w:color w:val="000000"/>
          <w:sz w:val="28"/>
          <w:szCs w:val="28"/>
        </w:rPr>
        <w:t>财政厅原则上是不允许年度中间调整采购计划，所以</w:t>
      </w:r>
      <w:r>
        <w:rPr>
          <w:rFonts w:ascii="宋体" w:eastAsia="宋体" w:hAnsi="宋体" w:hint="eastAsia"/>
          <w:color w:val="000000"/>
          <w:sz w:val="28"/>
          <w:szCs w:val="28"/>
        </w:rPr>
        <w:t>今年要求</w:t>
      </w:r>
      <w:r w:rsidRPr="00A765C5">
        <w:rPr>
          <w:rFonts w:ascii="宋体" w:eastAsia="宋体" w:hAnsi="宋体" w:hint="eastAsia"/>
          <w:color w:val="000000"/>
          <w:sz w:val="28"/>
          <w:szCs w:val="28"/>
        </w:rPr>
        <w:t>各单位安排</w:t>
      </w:r>
      <w:r>
        <w:rPr>
          <w:rFonts w:ascii="宋体" w:eastAsia="宋体" w:hAnsi="宋体" w:hint="eastAsia"/>
          <w:color w:val="000000"/>
          <w:sz w:val="28"/>
          <w:szCs w:val="28"/>
        </w:rPr>
        <w:t>资产管理员</w:t>
      </w:r>
      <w:r w:rsidRPr="00A765C5">
        <w:rPr>
          <w:rFonts w:ascii="宋体" w:eastAsia="宋体" w:hAnsi="宋体" w:hint="eastAsia"/>
          <w:color w:val="000000"/>
          <w:sz w:val="28"/>
          <w:szCs w:val="28"/>
        </w:rPr>
        <w:t>专人负责</w:t>
      </w:r>
      <w:r>
        <w:rPr>
          <w:rFonts w:ascii="宋体" w:eastAsia="宋体" w:hAnsi="宋体" w:hint="eastAsia"/>
          <w:color w:val="000000"/>
          <w:sz w:val="28"/>
          <w:szCs w:val="28"/>
        </w:rPr>
        <w:t>填报</w:t>
      </w:r>
      <w:r w:rsidRPr="00A765C5">
        <w:rPr>
          <w:rFonts w:ascii="宋体" w:eastAsia="宋体" w:hAnsi="宋体" w:hint="eastAsia"/>
          <w:color w:val="000000"/>
          <w:sz w:val="28"/>
          <w:szCs w:val="28"/>
        </w:rPr>
        <w:t>本单位的</w:t>
      </w:r>
      <w:r>
        <w:rPr>
          <w:rFonts w:ascii="宋体" w:eastAsia="宋体" w:hAnsi="宋体" w:hint="eastAsia"/>
          <w:color w:val="000000"/>
          <w:sz w:val="28"/>
          <w:szCs w:val="28"/>
        </w:rPr>
        <w:t>计划</w:t>
      </w:r>
      <w:r w:rsidRPr="00A765C5">
        <w:rPr>
          <w:rFonts w:ascii="宋体" w:eastAsia="宋体" w:hAnsi="宋体" w:hint="eastAsia"/>
          <w:color w:val="000000"/>
          <w:sz w:val="28"/>
          <w:szCs w:val="28"/>
        </w:rPr>
        <w:t>，做到填报数据准确。</w:t>
      </w:r>
    </w:p>
    <w:p w:rsidR="003A1250" w:rsidRDefault="003A1250" w:rsidP="003A1250">
      <w:pPr>
        <w:shd w:val="clear" w:color="auto" w:fill="FFFFFF"/>
        <w:spacing w:before="100" w:beforeAutospacing="1" w:after="100" w:afterAutospacing="1" w:line="500" w:lineRule="exac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二、虚拟采购：</w:t>
      </w:r>
      <w:r w:rsidRPr="00B04E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对于购买内容相对固定、连续性强、经费来源稳定、价格变化幅度小的服务采购项目，采购期限可签订不超过3年，</w:t>
      </w:r>
      <w:r w:rsidRPr="00B04E74">
        <w:rPr>
          <w:rFonts w:ascii="宋体" w:eastAsia="宋体" w:hAnsi="宋体" w:cs="宋体" w:hint="eastAsia"/>
          <w:kern w:val="0"/>
          <w:sz w:val="28"/>
          <w:szCs w:val="28"/>
        </w:rPr>
        <w:t>采购金额仅</w:t>
      </w:r>
      <w:proofErr w:type="gramStart"/>
      <w:r w:rsidRPr="00B04E74">
        <w:rPr>
          <w:rFonts w:ascii="宋体" w:eastAsia="宋体" w:hAnsi="宋体" w:cs="宋体" w:hint="eastAsia"/>
          <w:kern w:val="0"/>
          <w:sz w:val="28"/>
          <w:szCs w:val="28"/>
        </w:rPr>
        <w:t>填当年</w:t>
      </w:r>
      <w:proofErr w:type="gramEnd"/>
      <w:r w:rsidRPr="00B04E74">
        <w:rPr>
          <w:rFonts w:ascii="宋体" w:eastAsia="宋体" w:hAnsi="宋体" w:cs="宋体" w:hint="eastAsia"/>
          <w:kern w:val="0"/>
          <w:sz w:val="28"/>
          <w:szCs w:val="28"/>
        </w:rPr>
        <w:t>预算金额</w:t>
      </w:r>
      <w:r w:rsidRPr="00B04E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。例如，物业、安保等。</w:t>
      </w:r>
    </w:p>
    <w:p w:rsidR="003A1250" w:rsidRDefault="003A1250" w:rsidP="003A1250">
      <w:pPr>
        <w:shd w:val="clear" w:color="auto" w:fill="FFFFFF"/>
        <w:spacing w:before="100" w:beforeAutospacing="1" w:after="100" w:afterAutospacing="1" w:line="500" w:lineRule="exac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</w:t>
      </w:r>
      <w:r w:rsidRPr="00BE44E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proofErr w:type="gramStart"/>
      <w:r w:rsidRPr="000F6BC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必填项说明</w:t>
      </w:r>
      <w:proofErr w:type="gramEnd"/>
    </w:p>
    <w:p w:rsidR="003A1250" w:rsidRPr="00DA7B9A" w:rsidRDefault="003A1250" w:rsidP="003A1250">
      <w:pPr>
        <w:shd w:val="clear" w:color="auto" w:fill="FFFFFF"/>
        <w:spacing w:before="100" w:beforeAutospacing="1" w:after="100" w:afterAutospacing="1" w:line="50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1、财政专项资金：</w:t>
      </w:r>
      <w:r w:rsidRPr="00DA7B9A">
        <w:rPr>
          <w:rFonts w:ascii="宋体" w:eastAsia="宋体" w:hAnsi="宋体" w:cs="宋体" w:hint="eastAsia"/>
          <w:kern w:val="0"/>
          <w:sz w:val="28"/>
          <w:szCs w:val="28"/>
        </w:rPr>
        <w:t>是指由省财政厅下达的，有财政文号的资金，同时纳入了省财政预算一体化项目库绩效管理，专款专用。如：一流学科专项、人才专项、科技专项、</w:t>
      </w:r>
      <w:proofErr w:type="gramStart"/>
      <w:r w:rsidRPr="00DA7B9A">
        <w:rPr>
          <w:rFonts w:ascii="宋体" w:eastAsia="宋体" w:hAnsi="宋体" w:cs="宋体" w:hint="eastAsia"/>
          <w:kern w:val="0"/>
          <w:sz w:val="28"/>
          <w:szCs w:val="28"/>
        </w:rPr>
        <w:t>发改委</w:t>
      </w:r>
      <w:proofErr w:type="gramEnd"/>
      <w:r w:rsidRPr="00DA7B9A">
        <w:rPr>
          <w:rFonts w:ascii="宋体" w:eastAsia="宋体" w:hAnsi="宋体" w:cs="宋体" w:hint="eastAsia"/>
          <w:kern w:val="0"/>
          <w:sz w:val="28"/>
          <w:szCs w:val="28"/>
        </w:rPr>
        <w:t>专项等，举例：财政专项名称：《江西省财政厅关于下达2</w:t>
      </w:r>
      <w:r w:rsidRPr="00DA7B9A">
        <w:rPr>
          <w:rFonts w:ascii="宋体" w:eastAsia="宋体" w:hAnsi="宋体" w:cs="宋体"/>
          <w:kern w:val="0"/>
          <w:sz w:val="28"/>
          <w:szCs w:val="28"/>
        </w:rPr>
        <w:t>025</w:t>
      </w:r>
      <w:r w:rsidRPr="00DA7B9A">
        <w:rPr>
          <w:rFonts w:ascii="宋体" w:eastAsia="宋体" w:hAnsi="宋体" w:cs="宋体" w:hint="eastAsia"/>
          <w:kern w:val="0"/>
          <w:sz w:val="28"/>
          <w:szCs w:val="28"/>
        </w:rPr>
        <w:t>年“双一流”建设资金的通知》或一流学科专项，财政专项资金文号：赣</w:t>
      </w:r>
      <w:proofErr w:type="gramStart"/>
      <w:r w:rsidRPr="00DA7B9A">
        <w:rPr>
          <w:rFonts w:ascii="宋体" w:eastAsia="宋体" w:hAnsi="宋体" w:cs="宋体" w:hint="eastAsia"/>
          <w:kern w:val="0"/>
          <w:sz w:val="28"/>
          <w:szCs w:val="28"/>
        </w:rPr>
        <w:t>财教指</w:t>
      </w:r>
      <w:proofErr w:type="gramEnd"/>
      <w:r w:rsidRPr="00DA7B9A">
        <w:rPr>
          <w:rFonts w:ascii="宋体" w:eastAsia="宋体" w:hAnsi="宋体" w:cs="宋体" w:hint="eastAsia"/>
          <w:kern w:val="0"/>
          <w:sz w:val="28"/>
          <w:szCs w:val="28"/>
        </w:rPr>
        <w:t>【2</w:t>
      </w:r>
      <w:r w:rsidRPr="00DA7B9A">
        <w:rPr>
          <w:rFonts w:ascii="宋体" w:eastAsia="宋体" w:hAnsi="宋体" w:cs="宋体"/>
          <w:kern w:val="0"/>
          <w:sz w:val="28"/>
          <w:szCs w:val="28"/>
        </w:rPr>
        <w:t>025</w:t>
      </w:r>
      <w:r w:rsidRPr="00DA7B9A">
        <w:rPr>
          <w:rFonts w:ascii="宋体" w:eastAsia="宋体" w:hAnsi="宋体" w:cs="宋体" w:hint="eastAsia"/>
          <w:kern w:val="0"/>
          <w:sz w:val="28"/>
          <w:szCs w:val="28"/>
        </w:rPr>
        <w:t>】7号。</w:t>
      </w:r>
    </w:p>
    <w:p w:rsidR="003A1250" w:rsidRDefault="003A1250" w:rsidP="003A1250">
      <w:pPr>
        <w:shd w:val="clear" w:color="auto" w:fill="FFFFFF"/>
        <w:spacing w:line="540" w:lineRule="exac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2、采购经费类型：分别为财政专项资金、科研经费（纵、横、校内科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平台）、人才科研启动金、维修经费、设备费、信息化建设经费、图书经费、基建经费、其他服务（含物业、安保、印刷、消防、保险、审计等）共九项。各单位根据经费类型进行选择。</w:t>
      </w:r>
    </w:p>
    <w:p w:rsidR="003A1250" w:rsidRDefault="003A1250" w:rsidP="003A1250">
      <w:pPr>
        <w:shd w:val="clear" w:color="auto" w:fill="FFFFFF"/>
        <w:spacing w:before="100" w:beforeAutospacing="1" w:after="100" w:afterAutospacing="1" w:line="500" w:lineRule="exac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3、经费来源：</w:t>
      </w:r>
    </w:p>
    <w:p w:rsidR="003A1250" w:rsidRDefault="003A1250" w:rsidP="003A1250">
      <w:pPr>
        <w:shd w:val="clear" w:color="auto" w:fill="FFFFFF"/>
        <w:spacing w:line="540" w:lineRule="exac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财政专项资金：见第1点的解释</w:t>
      </w:r>
    </w:p>
    <w:p w:rsidR="003A1250" w:rsidRDefault="003A1250" w:rsidP="003A1250">
      <w:pPr>
        <w:shd w:val="clear" w:color="auto" w:fill="FFFFFF"/>
        <w:spacing w:line="540" w:lineRule="exac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基金会基金：校友办基金会资金</w:t>
      </w:r>
    </w:p>
    <w:p w:rsidR="003A1250" w:rsidRDefault="003A1250" w:rsidP="003A1250">
      <w:pPr>
        <w:shd w:val="clear" w:color="auto" w:fill="FFFFFF"/>
        <w:spacing w:line="540" w:lineRule="exac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校内预算资金：维修经费、设备费、信息化建设经费、图书经费、基建经费、其他服务（含物业、安保、印刷、消防、保险、审计等）。</w:t>
      </w:r>
    </w:p>
    <w:p w:rsidR="003A1250" w:rsidRDefault="003A1250" w:rsidP="003A1250">
      <w:pPr>
        <w:shd w:val="clear" w:color="auto" w:fill="FFFFFF"/>
        <w:spacing w:line="540" w:lineRule="exac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科研经费：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含科研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经费（纵、横、校内科研平台）和人才科研启动金。</w:t>
      </w:r>
    </w:p>
    <w:p w:rsidR="003A1250" w:rsidRPr="00DA7B9A" w:rsidRDefault="003A1250" w:rsidP="003A1250">
      <w:pPr>
        <w:shd w:val="clear" w:color="auto" w:fill="FFFFFF"/>
        <w:spacing w:line="54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其他经费：</w:t>
      </w:r>
      <w:r w:rsidRPr="00DA7B9A">
        <w:rPr>
          <w:rFonts w:ascii="宋体" w:eastAsia="宋体" w:hAnsi="宋体" w:cs="宋体" w:hint="eastAsia"/>
          <w:kern w:val="0"/>
          <w:sz w:val="28"/>
          <w:szCs w:val="28"/>
        </w:rPr>
        <w:t>含创收经费、函授经费、国培经费、省培经费、同等学历分配经费、非</w:t>
      </w:r>
      <w:proofErr w:type="gramStart"/>
      <w:r w:rsidRPr="00DA7B9A">
        <w:rPr>
          <w:rFonts w:ascii="宋体" w:eastAsia="宋体" w:hAnsi="宋体" w:cs="宋体" w:hint="eastAsia"/>
          <w:kern w:val="0"/>
          <w:sz w:val="28"/>
          <w:szCs w:val="28"/>
        </w:rPr>
        <w:t>全分配</w:t>
      </w:r>
      <w:proofErr w:type="gramEnd"/>
      <w:r w:rsidRPr="00DA7B9A">
        <w:rPr>
          <w:rFonts w:ascii="宋体" w:eastAsia="宋体" w:hAnsi="宋体" w:cs="宋体" w:hint="eastAsia"/>
          <w:kern w:val="0"/>
          <w:sz w:val="28"/>
          <w:szCs w:val="28"/>
        </w:rPr>
        <w:t>经费等</w:t>
      </w:r>
      <w:r w:rsidR="00482442">
        <w:rPr>
          <w:rFonts w:ascii="宋体" w:eastAsia="宋体" w:hAnsi="宋体" w:cs="宋体" w:hint="eastAsia"/>
          <w:kern w:val="0"/>
          <w:sz w:val="28"/>
          <w:szCs w:val="28"/>
        </w:rPr>
        <w:t>。</w:t>
      </w:r>
      <w:bookmarkStart w:id="0" w:name="_GoBack"/>
      <w:bookmarkEnd w:id="0"/>
    </w:p>
    <w:p w:rsidR="003A1250" w:rsidRPr="00DA7B9A" w:rsidRDefault="003A1250" w:rsidP="003A1250">
      <w:pPr>
        <w:shd w:val="clear" w:color="auto" w:fill="FFFFFF"/>
        <w:spacing w:before="100" w:beforeAutospacing="1" w:after="100" w:afterAutospacing="1" w:line="50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DA7B9A">
        <w:rPr>
          <w:rFonts w:ascii="宋体" w:eastAsia="宋体" w:hAnsi="宋体" w:cs="宋体" w:hint="eastAsia"/>
          <w:kern w:val="0"/>
          <w:sz w:val="28"/>
          <w:szCs w:val="28"/>
        </w:rPr>
        <w:t>4、设备品目名称及编码：</w:t>
      </w:r>
    </w:p>
    <w:p w:rsidR="003A1250" w:rsidRDefault="00932182" w:rsidP="003A1250">
      <w:pPr>
        <w:shd w:val="clear" w:color="auto" w:fill="FFFFFF"/>
        <w:spacing w:before="100" w:beforeAutospacing="1" w:after="100" w:afterAutospacing="1" w:line="500" w:lineRule="exact"/>
        <w:ind w:firstLineChars="200" w:firstLine="560"/>
        <w:rPr>
          <w:rFonts w:ascii="宋体" w:eastAsia="宋体" w:hAnsi="宋体" w:cs="宋体"/>
          <w:color w:val="FF0000"/>
          <w:kern w:val="0"/>
          <w:sz w:val="28"/>
          <w:szCs w:val="28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822325</wp:posOffset>
                </wp:positionV>
                <wp:extent cx="695325" cy="1409700"/>
                <wp:effectExtent l="0" t="0" r="85725" b="571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140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B46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194.25pt;margin-top:64.75pt;width:54.7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宋体" w:eastAsia="宋体" w:hAnsi="宋体" w:cs="宋体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761999</wp:posOffset>
                </wp:positionH>
                <wp:positionV relativeFrom="paragraph">
                  <wp:posOffset>488950</wp:posOffset>
                </wp:positionV>
                <wp:extent cx="704850" cy="1762125"/>
                <wp:effectExtent l="38100" t="0" r="19050" b="476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1762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C180" id="直接箭头连接符 1" o:spid="_x0000_s1026" type="#_x0000_t32" style="position:absolute;left:0;text-align:left;margin-left:60pt;margin-top:38.5pt;width:55.5pt;height:138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 w:rsidR="003A12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为提高项目填报的准确性，减少出错的概率，今年在平台的采购品目里添加了</w:t>
      </w:r>
      <w:r w:rsidR="003A1250" w:rsidRPr="00932182"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常用品目</w:t>
      </w:r>
      <w:r w:rsidR="003A12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，建议各单位尽量在常用品目里选择，常用品目里如无自己所需的，</w:t>
      </w:r>
      <w:r w:rsidR="003A1250" w:rsidRPr="00932182">
        <w:rPr>
          <w:rFonts w:ascii="宋体" w:eastAsia="宋体" w:hAnsi="宋体" w:cs="宋体" w:hint="eastAsia"/>
          <w:color w:val="000000"/>
          <w:kern w:val="0"/>
          <w:sz w:val="28"/>
          <w:szCs w:val="28"/>
          <w:highlight w:val="yellow"/>
        </w:rPr>
        <w:t>再搜索自己所需的品目。</w:t>
      </w:r>
    </w:p>
    <w:p w:rsidR="003A1250" w:rsidRDefault="003A1250" w:rsidP="003A1250">
      <w:pPr>
        <w:pStyle w:val="a3"/>
      </w:pPr>
    </w:p>
    <w:p w:rsidR="003A1250" w:rsidRDefault="003A1250" w:rsidP="003A1250">
      <w:pPr>
        <w:pStyle w:val="a3"/>
      </w:pPr>
      <w:r>
        <w:rPr>
          <w:noProof/>
        </w:rPr>
        <w:drawing>
          <wp:inline distT="0" distB="0" distL="0" distR="0" wp14:anchorId="030DEE87" wp14:editId="48846172">
            <wp:extent cx="5086350" cy="3110593"/>
            <wp:effectExtent l="0" t="0" r="0" b="0"/>
            <wp:docPr id="2" name="图片 2" descr="C:\Users\Administrator\Desktop\图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图一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104" cy="325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250" w:rsidRDefault="003A1250" w:rsidP="003A1250">
      <w:pPr>
        <w:pStyle w:val="a3"/>
      </w:pPr>
    </w:p>
    <w:p w:rsidR="0079442C" w:rsidRDefault="0079442C"/>
    <w:sectPr w:rsidR="00794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50"/>
    <w:rsid w:val="003A1250"/>
    <w:rsid w:val="00482442"/>
    <w:rsid w:val="00571995"/>
    <w:rsid w:val="0079442C"/>
    <w:rsid w:val="00932182"/>
    <w:rsid w:val="00BC22EE"/>
    <w:rsid w:val="00DA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AEFD"/>
  <w15:chartTrackingRefBased/>
  <w15:docId w15:val="{EF76198C-1A67-4B10-9D9A-EACE880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2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2025-06-10T04:00:00Z</dcterms:created>
  <dcterms:modified xsi:type="dcterms:W3CDTF">2025-06-12T03:27:00Z</dcterms:modified>
</cp:coreProperties>
</file>